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LinTimes" w:hAnsi="LinTimes" w:eastAsia="黑体" w:cs="Times New Roman"/>
        </w:rPr>
      </w:pPr>
      <w:bookmarkStart w:id="0" w:name="_Toc28224"/>
      <w:bookmarkStart w:id="1" w:name="_Toc24019"/>
      <w:r>
        <w:rPr>
          <w:rFonts w:hint="eastAsia" w:ascii="LinTimes" w:hAnsi="LinTimes" w:eastAsia="黑体" w:cs="黑体"/>
          <w:sz w:val="32"/>
          <w:szCs w:val="32"/>
        </w:rPr>
        <w:t>附件</w:t>
      </w:r>
      <w:r>
        <w:rPr>
          <w:rFonts w:ascii="LinTimes" w:hAnsi="LinTimes" w:eastAsia="黑体" w:cs="LinTimes"/>
          <w:sz w:val="32"/>
          <w:szCs w:val="32"/>
        </w:rPr>
        <w:t>5</w:t>
      </w:r>
      <w:bookmarkEnd w:id="0"/>
      <w:bookmarkEnd w:id="1"/>
    </w:p>
    <w:p>
      <w:pPr>
        <w:pStyle w:val="16"/>
        <w:rPr>
          <w:rFonts w:ascii="LinTimes" w:hAnsi="LinTimes" w:eastAsia="微软雅黑" w:cs="Times New Roman"/>
          <w:lang w:eastAsia="zh-CN"/>
        </w:rPr>
      </w:pPr>
    </w:p>
    <w:p>
      <w:pPr>
        <w:rPr>
          <w:lang w:eastAsia="zh-CN"/>
        </w:rPr>
      </w:pPr>
    </w:p>
    <w:p>
      <w:pPr>
        <w:spacing w:line="560" w:lineRule="exact"/>
        <w:rPr>
          <w:rFonts w:ascii="LinTimes" w:hAnsi="LinTimes" w:cs="LinTimes"/>
          <w:lang w:val="en-AU"/>
        </w:rPr>
      </w:pPr>
    </w:p>
    <w:p>
      <w:pPr>
        <w:bidi w:val="0"/>
        <w:spacing w:line="360" w:lineRule="auto"/>
        <w:jc w:val="center"/>
        <w:rPr>
          <w:rFonts w:hint="eastAsia" w:ascii="仿宋" w:hAnsi="仿宋" w:eastAsia="仿宋" w:cs="仿宋"/>
          <w:b/>
          <w:bCs/>
          <w:sz w:val="44"/>
          <w:szCs w:val="44"/>
        </w:rPr>
      </w:pPr>
    </w:p>
    <w:p>
      <w:pPr>
        <w:bidi w:val="0"/>
        <w:spacing w:line="360" w:lineRule="auto"/>
        <w:jc w:val="center"/>
        <w:rPr>
          <w:rFonts w:hint="eastAsia" w:ascii="华文中宋" w:hAnsi="华文中宋" w:eastAsia="华文中宋" w:cs="华文中宋"/>
          <w:b/>
          <w:bCs/>
          <w:sz w:val="44"/>
          <w:szCs w:val="44"/>
          <w:lang w:eastAsia="zh-CN"/>
        </w:rPr>
      </w:pPr>
      <w:r>
        <w:rPr>
          <w:rFonts w:hint="eastAsia" w:ascii="华文中宋" w:hAnsi="华文中宋" w:eastAsia="华文中宋" w:cs="华文中宋"/>
          <w:b/>
          <w:bCs/>
          <w:sz w:val="44"/>
          <w:szCs w:val="44"/>
          <w:lang w:eastAsia="zh-CN"/>
        </w:rPr>
        <w:t>第三届全国新能源汽车关键技术技能大赛</w:t>
      </w:r>
    </w:p>
    <w:p>
      <w:pPr>
        <w:bidi w:val="0"/>
        <w:spacing w:line="360" w:lineRule="auto"/>
        <w:jc w:val="center"/>
        <w:rPr>
          <w:rFonts w:hint="eastAsia" w:ascii="仿宋" w:hAnsi="仿宋" w:eastAsia="仿宋" w:cs="仿宋"/>
          <w:b/>
          <w:bCs/>
          <w:sz w:val="44"/>
          <w:szCs w:val="44"/>
          <w:lang w:val="en-AU" w:eastAsia="zh-CN"/>
        </w:rPr>
      </w:pPr>
      <w:r>
        <w:rPr>
          <w:rFonts w:hint="eastAsia" w:ascii="华文中宋" w:hAnsi="华文中宋" w:eastAsia="华文中宋" w:cs="华文中宋"/>
          <w:b/>
          <w:bCs/>
          <w:sz w:val="44"/>
          <w:szCs w:val="44"/>
          <w:lang w:eastAsia="zh-CN"/>
        </w:rPr>
        <w:t>广西选拔赛</w:t>
      </w:r>
    </w:p>
    <w:p>
      <w:pPr>
        <w:bidi w:val="0"/>
        <w:spacing w:line="360" w:lineRule="auto"/>
        <w:jc w:val="center"/>
        <w:rPr>
          <w:rFonts w:hint="eastAsia" w:ascii="华文中宋" w:hAnsi="华文中宋" w:eastAsia="华文中宋" w:cs="华文中宋"/>
          <w:b/>
          <w:bCs/>
          <w:sz w:val="44"/>
          <w:szCs w:val="44"/>
          <w:lang w:val="en-US" w:eastAsia="zh-CN"/>
        </w:rPr>
      </w:pPr>
      <w:r>
        <w:rPr>
          <w:rFonts w:hint="eastAsia" w:ascii="华文中宋" w:hAnsi="华文中宋" w:eastAsia="华文中宋" w:cs="华文中宋"/>
          <w:b/>
          <w:bCs/>
          <w:sz w:val="44"/>
          <w:szCs w:val="44"/>
          <w:lang w:val="en-AU" w:eastAsia="zh-CN"/>
        </w:rPr>
        <w:t>机动车检测工（车路协同技术方向）</w:t>
      </w:r>
      <w:r>
        <w:rPr>
          <w:rFonts w:hint="eastAsia" w:ascii="华文中宋" w:hAnsi="华文中宋" w:eastAsia="华文中宋" w:cs="华文中宋"/>
          <w:b/>
          <w:bCs/>
          <w:sz w:val="44"/>
          <w:szCs w:val="44"/>
          <w:lang w:val="en-US" w:eastAsia="zh-CN"/>
        </w:rPr>
        <w:t>赛项</w:t>
      </w:r>
    </w:p>
    <w:p>
      <w:pPr>
        <w:bidi w:val="0"/>
        <w:spacing w:line="360" w:lineRule="auto"/>
        <w:jc w:val="center"/>
        <w:rPr>
          <w:rFonts w:hint="eastAsia" w:ascii="华文中宋" w:hAnsi="华文中宋" w:eastAsia="华文中宋" w:cs="华文中宋"/>
          <w:b/>
          <w:bCs/>
          <w:sz w:val="44"/>
          <w:szCs w:val="44"/>
          <w:lang w:val="en-AU" w:eastAsia="zh-CN"/>
        </w:rPr>
      </w:pPr>
      <w:r>
        <w:rPr>
          <w:rFonts w:hint="eastAsia" w:ascii="华文中宋" w:hAnsi="华文中宋" w:eastAsia="华文中宋" w:cs="华文中宋"/>
          <w:b/>
          <w:bCs/>
          <w:sz w:val="44"/>
          <w:szCs w:val="44"/>
          <w:lang w:val="en-US" w:eastAsia="zh-CN"/>
        </w:rPr>
        <w:t xml:space="preserve">  </w:t>
      </w:r>
      <w:r>
        <w:rPr>
          <w:rFonts w:hint="eastAsia" w:ascii="华文中宋" w:hAnsi="华文中宋" w:eastAsia="华文中宋" w:cs="华文中宋"/>
          <w:b/>
          <w:bCs/>
          <w:sz w:val="44"/>
          <w:szCs w:val="44"/>
          <w:lang w:val="en-AU" w:eastAsia="zh-CN"/>
        </w:rPr>
        <w:t>技术工作文件（</w:t>
      </w:r>
      <w:r>
        <w:rPr>
          <w:rFonts w:hint="eastAsia" w:ascii="华文中宋" w:hAnsi="华文中宋" w:eastAsia="华文中宋" w:cs="华文中宋"/>
          <w:b/>
          <w:bCs/>
          <w:sz w:val="44"/>
          <w:szCs w:val="44"/>
          <w:lang w:val="en-US" w:eastAsia="zh-CN"/>
        </w:rPr>
        <w:t>职工组</w:t>
      </w:r>
      <w:r>
        <w:rPr>
          <w:rFonts w:hint="eastAsia" w:ascii="华文中宋" w:hAnsi="华文中宋" w:eastAsia="华文中宋" w:cs="华文中宋"/>
          <w:b/>
          <w:bCs/>
          <w:sz w:val="44"/>
          <w:szCs w:val="44"/>
          <w:lang w:val="en-AU" w:eastAsia="zh-CN"/>
        </w:rPr>
        <w:t>）</w:t>
      </w:r>
    </w:p>
    <w:p>
      <w:pPr>
        <w:bidi w:val="0"/>
        <w:spacing w:line="360" w:lineRule="auto"/>
        <w:jc w:val="center"/>
        <w:rPr>
          <w:rFonts w:hint="eastAsia" w:ascii="华文中宋" w:hAnsi="华文中宋" w:eastAsia="华文中宋" w:cs="华文中宋"/>
          <w:b/>
          <w:bCs/>
          <w:sz w:val="44"/>
          <w:szCs w:val="44"/>
          <w:lang w:val="en-AU" w:eastAsia="zh-CN"/>
        </w:rPr>
      </w:pPr>
    </w:p>
    <w:p>
      <w:pPr>
        <w:spacing w:line="560" w:lineRule="exact"/>
        <w:rPr>
          <w:rFonts w:ascii="LinTimes" w:hAnsi="LinTimes" w:cs="LinTimes"/>
          <w:lang w:val="en-AU"/>
        </w:rPr>
      </w:pPr>
    </w:p>
    <w:p>
      <w:pPr>
        <w:pStyle w:val="2"/>
        <w:ind w:firstLine="31680"/>
        <w:rPr>
          <w:rFonts w:ascii="LinTimes" w:hAnsi="LinTimes" w:cs="LinTimes"/>
          <w:lang w:val="en-AU"/>
        </w:rPr>
      </w:pPr>
    </w:p>
    <w:p>
      <w:pPr>
        <w:pStyle w:val="2"/>
        <w:ind w:firstLine="0" w:firstLineChars="0"/>
        <w:rPr>
          <w:rFonts w:ascii="LinTimes" w:hAnsi="LinTimes" w:cs="LinTimes"/>
          <w:lang w:val="en-AU"/>
        </w:rPr>
      </w:pPr>
    </w:p>
    <w:p>
      <w:pPr>
        <w:pStyle w:val="2"/>
        <w:ind w:firstLine="31680"/>
        <w:rPr>
          <w:rFonts w:ascii="LinTimes" w:hAnsi="LinTimes" w:cs="LinTimes"/>
          <w:lang w:val="en-AU"/>
        </w:rPr>
      </w:pPr>
    </w:p>
    <w:p>
      <w:pPr>
        <w:pStyle w:val="2"/>
        <w:ind w:firstLine="31680"/>
        <w:rPr>
          <w:rFonts w:ascii="LinTimes" w:hAnsi="LinTimes" w:cs="LinTimes"/>
          <w:lang w:val="en-AU"/>
        </w:rPr>
      </w:pPr>
    </w:p>
    <w:p>
      <w:pPr>
        <w:pStyle w:val="2"/>
        <w:ind w:firstLine="31680"/>
        <w:rPr>
          <w:rFonts w:ascii="LinTimes" w:hAnsi="LinTimes" w:cs="LinTimes"/>
          <w:lang w:val="en-AU"/>
        </w:rPr>
      </w:pPr>
    </w:p>
    <w:p>
      <w:pPr>
        <w:pStyle w:val="2"/>
        <w:ind w:firstLine="31680"/>
        <w:rPr>
          <w:rFonts w:ascii="LinTimes" w:hAnsi="LinTimes" w:cs="LinTimes"/>
          <w:lang w:val="en-AU"/>
        </w:rPr>
      </w:pPr>
    </w:p>
    <w:p>
      <w:pPr>
        <w:pStyle w:val="2"/>
        <w:ind w:firstLine="31680"/>
        <w:rPr>
          <w:rFonts w:ascii="LinTimes" w:hAnsi="LinTimes" w:cs="LinTimes"/>
          <w:lang w:val="en-AU"/>
        </w:rPr>
      </w:pPr>
      <w:bookmarkStart w:id="60" w:name="_GoBack"/>
      <w:bookmarkEnd w:id="60"/>
    </w:p>
    <w:p>
      <w:pPr>
        <w:spacing w:before="104" w:line="360" w:lineRule="auto"/>
        <w:jc w:val="center"/>
        <w:rPr>
          <w:rFonts w:hint="eastAsia" w:ascii="宋体" w:hAnsi="宋体" w:eastAsia="宋体" w:cs="宋体"/>
          <w:b/>
          <w:bCs/>
          <w:spacing w:val="-3"/>
          <w:position w:val="20"/>
          <w:sz w:val="32"/>
          <w:szCs w:val="32"/>
          <w:lang w:eastAsia="zh-CN"/>
        </w:rPr>
      </w:pPr>
      <w:r>
        <w:rPr>
          <w:rFonts w:hint="eastAsia" w:ascii="宋体" w:hAnsi="宋体" w:eastAsia="宋体" w:cs="宋体"/>
          <w:b/>
          <w:bCs/>
          <w:spacing w:val="-3"/>
          <w:position w:val="20"/>
          <w:sz w:val="32"/>
          <w:szCs w:val="32"/>
          <w:lang w:eastAsia="zh-CN"/>
        </w:rPr>
        <w:t>第三届全国新能源汽车关键技术技能大赛广西选拔赛</w:t>
      </w:r>
    </w:p>
    <w:p>
      <w:pPr>
        <w:spacing w:before="104" w:line="360" w:lineRule="auto"/>
        <w:jc w:val="center"/>
        <w:rPr>
          <w:rFonts w:hint="eastAsia" w:ascii="宋体" w:hAnsi="宋体" w:eastAsia="宋体" w:cs="宋体"/>
          <w:b/>
          <w:bCs/>
          <w:sz w:val="32"/>
          <w:szCs w:val="32"/>
          <w:lang w:eastAsia="zh-CN"/>
        </w:rPr>
      </w:pPr>
      <w:r>
        <w:rPr>
          <w:rFonts w:hint="eastAsia" w:ascii="宋体" w:hAnsi="宋体" w:eastAsia="宋体" w:cs="宋体"/>
          <w:b/>
          <w:bCs/>
          <w:spacing w:val="-3"/>
          <w:position w:val="20"/>
          <w:sz w:val="32"/>
          <w:szCs w:val="32"/>
          <w:lang w:eastAsia="zh-CN"/>
        </w:rPr>
        <w:t>组委会技术工作组</w:t>
      </w:r>
    </w:p>
    <w:p>
      <w:pPr>
        <w:keepNext w:val="0"/>
        <w:keepLines w:val="0"/>
        <w:pageBreakBefore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hint="eastAsia" w:ascii="仿宋" w:hAnsi="仿宋" w:eastAsia="仿宋" w:cs="仿宋"/>
          <w:sz w:val="24"/>
          <w:szCs w:val="24"/>
        </w:rPr>
      </w:pPr>
      <w:r>
        <w:rPr>
          <w:rFonts w:hint="eastAsia" w:ascii="宋体" w:hAnsi="宋体" w:eastAsia="宋体" w:cs="宋体"/>
          <w:b/>
          <w:bCs/>
          <w:spacing w:val="-2"/>
          <w:sz w:val="32"/>
          <w:szCs w:val="32"/>
          <w:lang w:eastAsia="zh-CN"/>
        </w:rPr>
        <w:t>2023年</w:t>
      </w:r>
      <w:r>
        <w:rPr>
          <w:rFonts w:hint="eastAsia" w:ascii="宋体" w:hAnsi="宋体" w:eastAsia="宋体" w:cs="宋体"/>
          <w:b/>
          <w:bCs/>
          <w:spacing w:val="16"/>
          <w:sz w:val="32"/>
          <w:szCs w:val="32"/>
          <w:lang w:eastAsia="zh-CN"/>
        </w:rPr>
        <w:t>10</w:t>
      </w:r>
      <w:r>
        <w:rPr>
          <w:rFonts w:hint="eastAsia" w:ascii="宋体" w:hAnsi="宋体" w:eastAsia="宋体" w:cs="宋体"/>
          <w:b/>
          <w:bCs/>
          <w:spacing w:val="-2"/>
          <w:sz w:val="32"/>
          <w:szCs w:val="32"/>
          <w:lang w:eastAsia="zh-CN"/>
        </w:rPr>
        <w:t>月</w:t>
      </w:r>
      <w:bookmarkStart w:id="2" w:name="_Toc21519_WPSOffice_Type2"/>
      <w:r>
        <w:rPr>
          <w:rFonts w:ascii="宋体" w:hAnsi="宋体" w:eastAsia="宋体"/>
          <w:sz w:val="21"/>
        </w:rPr>
        <w:br w:type="page"/>
      </w:r>
      <w:r>
        <w:rPr>
          <w:rFonts w:hint="eastAsia" w:ascii="仿宋" w:hAnsi="仿宋" w:eastAsia="仿宋" w:cs="仿宋"/>
          <w:b/>
          <w:bCs/>
          <w:sz w:val="32"/>
          <w:szCs w:val="32"/>
        </w:rPr>
        <w:t>目录</w:t>
      </w:r>
    </w:p>
    <w:p>
      <w:pPr>
        <w:pStyle w:val="50"/>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rPr>
        <w:fldChar w:fldCharType="begin"/>
      </w:r>
      <w:r>
        <w:rPr>
          <w:rFonts w:hint="eastAsia" w:ascii="仿宋" w:hAnsi="仿宋" w:eastAsia="仿宋" w:cs="仿宋"/>
          <w:sz w:val="24"/>
          <w:szCs w:val="24"/>
        </w:rPr>
        <w:instrText xml:space="preserve"> HYPERLINK \l _Toc16493_WPSOffice_Level1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一、技术描述</w:t>
      </w:r>
      <w:r>
        <w:rPr>
          <w:rFonts w:hint="eastAsia" w:ascii="仿宋" w:hAnsi="仿宋" w:eastAsia="仿宋" w:cs="仿宋"/>
          <w:b/>
          <w:bCs/>
          <w:sz w:val="24"/>
          <w:szCs w:val="24"/>
        </w:rPr>
        <w:tab/>
      </w:r>
      <w:bookmarkStart w:id="3" w:name="_Toc16493_WPSOffice_Level1Page"/>
      <w:r>
        <w:rPr>
          <w:rFonts w:hint="eastAsia" w:ascii="仿宋" w:hAnsi="仿宋" w:eastAsia="仿宋" w:cs="仿宋"/>
          <w:b/>
          <w:bCs/>
          <w:sz w:val="24"/>
          <w:szCs w:val="24"/>
        </w:rPr>
        <w:t>1</w:t>
      </w:r>
      <w:bookmarkEnd w:id="3"/>
      <w:r>
        <w:rPr>
          <w:rFonts w:hint="eastAsia" w:ascii="仿宋" w:hAnsi="仿宋" w:eastAsia="仿宋" w:cs="仿宋"/>
          <w:b/>
          <w:bCs/>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_Toc19252_WPSOffice_Level2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（一）项目概要</w:t>
      </w:r>
      <w:r>
        <w:rPr>
          <w:rFonts w:hint="eastAsia" w:ascii="仿宋" w:hAnsi="仿宋" w:eastAsia="仿宋" w:cs="仿宋"/>
          <w:sz w:val="24"/>
          <w:szCs w:val="24"/>
        </w:rPr>
        <w:tab/>
      </w:r>
      <w:bookmarkStart w:id="4" w:name="_Toc19252_WPSOffice_Level2Page"/>
      <w:r>
        <w:rPr>
          <w:rFonts w:hint="eastAsia" w:ascii="仿宋" w:hAnsi="仿宋" w:eastAsia="仿宋" w:cs="仿宋"/>
          <w:sz w:val="24"/>
          <w:szCs w:val="24"/>
        </w:rPr>
        <w:t>1</w:t>
      </w:r>
      <w:bookmarkEnd w:id="4"/>
      <w:r>
        <w:rPr>
          <w:rFonts w:hint="eastAsia" w:ascii="仿宋" w:hAnsi="仿宋" w:eastAsia="仿宋" w:cs="仿宋"/>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_Toc24007_WPSOffice_Level2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（二）基本知识与能力要求</w:t>
      </w:r>
      <w:r>
        <w:rPr>
          <w:rFonts w:hint="eastAsia" w:ascii="仿宋" w:hAnsi="仿宋" w:eastAsia="仿宋" w:cs="仿宋"/>
          <w:sz w:val="24"/>
          <w:szCs w:val="24"/>
        </w:rPr>
        <w:tab/>
      </w:r>
      <w:bookmarkStart w:id="5" w:name="_Toc24007_WPSOffice_Level2Page"/>
      <w:r>
        <w:rPr>
          <w:rFonts w:hint="eastAsia" w:ascii="仿宋" w:hAnsi="仿宋" w:eastAsia="仿宋" w:cs="仿宋"/>
          <w:sz w:val="24"/>
          <w:szCs w:val="24"/>
        </w:rPr>
        <w:t>1</w:t>
      </w:r>
      <w:bookmarkEnd w:id="5"/>
      <w:r>
        <w:rPr>
          <w:rFonts w:hint="eastAsia" w:ascii="仿宋" w:hAnsi="仿宋" w:eastAsia="仿宋" w:cs="仿宋"/>
          <w:sz w:val="24"/>
          <w:szCs w:val="24"/>
        </w:rPr>
        <w:fldChar w:fldCharType="end"/>
      </w:r>
    </w:p>
    <w:p>
      <w:pPr>
        <w:pStyle w:val="50"/>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rPr>
        <w:fldChar w:fldCharType="begin"/>
      </w:r>
      <w:r>
        <w:rPr>
          <w:rFonts w:hint="eastAsia" w:ascii="仿宋" w:hAnsi="仿宋" w:eastAsia="仿宋" w:cs="仿宋"/>
          <w:sz w:val="24"/>
          <w:szCs w:val="24"/>
        </w:rPr>
        <w:instrText xml:space="preserve"> HYPERLINK \l _Toc8264_WPSOffice_Level1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二、试题与评判标准</w:t>
      </w:r>
      <w:r>
        <w:rPr>
          <w:rFonts w:hint="eastAsia" w:ascii="仿宋" w:hAnsi="仿宋" w:eastAsia="仿宋" w:cs="仿宋"/>
          <w:b/>
          <w:bCs/>
          <w:sz w:val="24"/>
          <w:szCs w:val="24"/>
        </w:rPr>
        <w:tab/>
      </w:r>
      <w:bookmarkStart w:id="6" w:name="_Toc8264_WPSOffice_Level1Page"/>
      <w:r>
        <w:rPr>
          <w:rFonts w:hint="eastAsia" w:ascii="仿宋" w:hAnsi="仿宋" w:eastAsia="仿宋" w:cs="仿宋"/>
          <w:b/>
          <w:bCs/>
          <w:sz w:val="24"/>
          <w:szCs w:val="24"/>
        </w:rPr>
        <w:t>2</w:t>
      </w:r>
      <w:bookmarkEnd w:id="6"/>
      <w:r>
        <w:rPr>
          <w:rFonts w:hint="eastAsia" w:ascii="仿宋" w:hAnsi="仿宋" w:eastAsia="仿宋" w:cs="仿宋"/>
          <w:b/>
          <w:bCs/>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_Toc29004_WPSOffice_Level2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（一）试题（样题）</w:t>
      </w:r>
      <w:r>
        <w:rPr>
          <w:rFonts w:hint="eastAsia" w:ascii="仿宋" w:hAnsi="仿宋" w:eastAsia="仿宋" w:cs="仿宋"/>
          <w:sz w:val="24"/>
          <w:szCs w:val="24"/>
        </w:rPr>
        <w:tab/>
      </w:r>
      <w:bookmarkStart w:id="7" w:name="_Toc29004_WPSOffice_Level2Page"/>
      <w:r>
        <w:rPr>
          <w:rFonts w:hint="eastAsia" w:ascii="仿宋" w:hAnsi="仿宋" w:eastAsia="仿宋" w:cs="仿宋"/>
          <w:sz w:val="24"/>
          <w:szCs w:val="24"/>
        </w:rPr>
        <w:t>2</w:t>
      </w:r>
      <w:bookmarkEnd w:id="7"/>
      <w:r>
        <w:rPr>
          <w:rFonts w:hint="eastAsia" w:ascii="仿宋" w:hAnsi="仿宋" w:eastAsia="仿宋" w:cs="仿宋"/>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_Toc24345_WPSOffice_Level2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（二）比赛时间及试题具体内容</w:t>
      </w:r>
      <w:r>
        <w:rPr>
          <w:rFonts w:hint="eastAsia" w:ascii="仿宋" w:hAnsi="仿宋" w:eastAsia="仿宋" w:cs="仿宋"/>
          <w:sz w:val="24"/>
          <w:szCs w:val="24"/>
        </w:rPr>
        <w:tab/>
      </w:r>
      <w:bookmarkStart w:id="8" w:name="_Toc24345_WPSOffice_Level2Page"/>
      <w:r>
        <w:rPr>
          <w:rFonts w:hint="eastAsia" w:ascii="仿宋" w:hAnsi="仿宋" w:eastAsia="仿宋" w:cs="仿宋"/>
          <w:sz w:val="24"/>
          <w:szCs w:val="24"/>
        </w:rPr>
        <w:t>4</w:t>
      </w:r>
      <w:bookmarkEnd w:id="8"/>
      <w:r>
        <w:rPr>
          <w:rFonts w:hint="eastAsia" w:ascii="仿宋" w:hAnsi="仿宋" w:eastAsia="仿宋" w:cs="仿宋"/>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_Toc13271_WPSOffice_Level2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（三）评判标准</w:t>
      </w:r>
      <w:r>
        <w:rPr>
          <w:rFonts w:hint="eastAsia" w:ascii="仿宋" w:hAnsi="仿宋" w:eastAsia="仿宋" w:cs="仿宋"/>
          <w:sz w:val="24"/>
          <w:szCs w:val="24"/>
        </w:rPr>
        <w:tab/>
      </w:r>
      <w:bookmarkStart w:id="9" w:name="_Toc13271_WPSOffice_Level2Page"/>
      <w:r>
        <w:rPr>
          <w:rFonts w:hint="eastAsia" w:ascii="仿宋" w:hAnsi="仿宋" w:eastAsia="仿宋" w:cs="仿宋"/>
          <w:sz w:val="24"/>
          <w:szCs w:val="24"/>
        </w:rPr>
        <w:t>5</w:t>
      </w:r>
      <w:bookmarkEnd w:id="9"/>
      <w:r>
        <w:rPr>
          <w:rFonts w:hint="eastAsia" w:ascii="仿宋" w:hAnsi="仿宋" w:eastAsia="仿宋" w:cs="仿宋"/>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_Toc22809_WPSOffice_Level2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（一）比赛日程安排</w:t>
      </w:r>
      <w:r>
        <w:rPr>
          <w:rFonts w:hint="eastAsia" w:ascii="仿宋" w:hAnsi="仿宋" w:eastAsia="仿宋" w:cs="仿宋"/>
          <w:sz w:val="24"/>
          <w:szCs w:val="24"/>
        </w:rPr>
        <w:tab/>
      </w:r>
      <w:bookmarkStart w:id="10" w:name="_Toc22809_WPSOffice_Level2Page"/>
      <w:r>
        <w:rPr>
          <w:rFonts w:hint="eastAsia" w:ascii="仿宋" w:hAnsi="仿宋" w:eastAsia="仿宋" w:cs="仿宋"/>
          <w:sz w:val="24"/>
          <w:szCs w:val="24"/>
        </w:rPr>
        <w:t>7</w:t>
      </w:r>
      <w:bookmarkEnd w:id="10"/>
      <w:r>
        <w:rPr>
          <w:rFonts w:hint="eastAsia" w:ascii="仿宋" w:hAnsi="仿宋" w:eastAsia="仿宋" w:cs="仿宋"/>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_Toc17682_WPSOffice_Level2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（二）工作要求</w:t>
      </w:r>
      <w:r>
        <w:rPr>
          <w:rFonts w:hint="eastAsia" w:ascii="仿宋" w:hAnsi="仿宋" w:eastAsia="仿宋" w:cs="仿宋"/>
          <w:sz w:val="24"/>
          <w:szCs w:val="24"/>
        </w:rPr>
        <w:tab/>
      </w:r>
      <w:bookmarkStart w:id="11" w:name="_Toc17682_WPSOffice_Level2Page"/>
      <w:r>
        <w:rPr>
          <w:rFonts w:hint="eastAsia" w:ascii="仿宋" w:hAnsi="仿宋" w:eastAsia="仿宋" w:cs="仿宋"/>
          <w:sz w:val="24"/>
          <w:szCs w:val="24"/>
        </w:rPr>
        <w:t>8</w:t>
      </w:r>
      <w:bookmarkEnd w:id="11"/>
      <w:r>
        <w:rPr>
          <w:rFonts w:hint="eastAsia" w:ascii="仿宋" w:hAnsi="仿宋" w:eastAsia="仿宋" w:cs="仿宋"/>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_Toc23393_WPSOffice_Level2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（三）纪律要求</w:t>
      </w:r>
      <w:r>
        <w:rPr>
          <w:rFonts w:hint="eastAsia" w:ascii="仿宋" w:hAnsi="仿宋" w:eastAsia="仿宋" w:cs="仿宋"/>
          <w:sz w:val="24"/>
          <w:szCs w:val="24"/>
        </w:rPr>
        <w:tab/>
      </w:r>
      <w:bookmarkStart w:id="12" w:name="_Toc23393_WPSOffice_Level2Page"/>
      <w:r>
        <w:rPr>
          <w:rFonts w:hint="eastAsia" w:ascii="仿宋" w:hAnsi="仿宋" w:eastAsia="仿宋" w:cs="仿宋"/>
          <w:sz w:val="24"/>
          <w:szCs w:val="24"/>
        </w:rPr>
        <w:t>9</w:t>
      </w:r>
      <w:bookmarkEnd w:id="12"/>
      <w:r>
        <w:rPr>
          <w:rFonts w:hint="eastAsia" w:ascii="仿宋" w:hAnsi="仿宋" w:eastAsia="仿宋" w:cs="仿宋"/>
          <w:sz w:val="24"/>
          <w:szCs w:val="24"/>
        </w:rPr>
        <w:fldChar w:fldCharType="end"/>
      </w:r>
    </w:p>
    <w:p>
      <w:pPr>
        <w:pStyle w:val="50"/>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rPr>
        <w:fldChar w:fldCharType="begin"/>
      </w:r>
      <w:r>
        <w:rPr>
          <w:rFonts w:hint="eastAsia" w:ascii="仿宋" w:hAnsi="仿宋" w:eastAsia="仿宋" w:cs="仿宋"/>
          <w:sz w:val="24"/>
          <w:szCs w:val="24"/>
        </w:rPr>
        <w:instrText xml:space="preserve"> HYPERLINK \l _Toc373_WPSOffice_Level1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四、竞赛场地、设施设备等安排</w:t>
      </w:r>
      <w:r>
        <w:rPr>
          <w:rFonts w:hint="eastAsia" w:ascii="仿宋" w:hAnsi="仿宋" w:eastAsia="仿宋" w:cs="仿宋"/>
          <w:b/>
          <w:bCs/>
          <w:sz w:val="24"/>
          <w:szCs w:val="24"/>
        </w:rPr>
        <w:tab/>
      </w:r>
      <w:bookmarkStart w:id="13" w:name="_Toc373_WPSOffice_Level1Page"/>
      <w:r>
        <w:rPr>
          <w:rFonts w:hint="eastAsia" w:ascii="仿宋" w:hAnsi="仿宋" w:eastAsia="仿宋" w:cs="仿宋"/>
          <w:b/>
          <w:bCs/>
          <w:sz w:val="24"/>
          <w:szCs w:val="24"/>
        </w:rPr>
        <w:t>12</w:t>
      </w:r>
      <w:bookmarkEnd w:id="13"/>
      <w:r>
        <w:rPr>
          <w:rFonts w:hint="eastAsia" w:ascii="仿宋" w:hAnsi="仿宋" w:eastAsia="仿宋" w:cs="仿宋"/>
          <w:b/>
          <w:bCs/>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_Toc11555_WPSOffice_Level2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（一）赛场规格要求</w:t>
      </w:r>
      <w:r>
        <w:rPr>
          <w:rFonts w:hint="eastAsia" w:ascii="仿宋" w:hAnsi="仿宋" w:eastAsia="仿宋" w:cs="仿宋"/>
          <w:sz w:val="24"/>
          <w:szCs w:val="24"/>
        </w:rPr>
        <w:tab/>
      </w:r>
      <w:bookmarkStart w:id="14" w:name="_Toc11555_WPSOffice_Level2Page"/>
      <w:r>
        <w:rPr>
          <w:rFonts w:hint="eastAsia" w:ascii="仿宋" w:hAnsi="仿宋" w:eastAsia="仿宋" w:cs="仿宋"/>
          <w:sz w:val="24"/>
          <w:szCs w:val="24"/>
        </w:rPr>
        <w:t>12</w:t>
      </w:r>
      <w:bookmarkEnd w:id="14"/>
      <w:r>
        <w:rPr>
          <w:rFonts w:hint="eastAsia" w:ascii="仿宋" w:hAnsi="仿宋" w:eastAsia="仿宋" w:cs="仿宋"/>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_Toc1415_WPSOffice_Level2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（二）场地布局图</w:t>
      </w:r>
      <w:r>
        <w:rPr>
          <w:rFonts w:hint="eastAsia" w:ascii="仿宋" w:hAnsi="仿宋" w:eastAsia="仿宋" w:cs="仿宋"/>
          <w:sz w:val="24"/>
          <w:szCs w:val="24"/>
        </w:rPr>
        <w:tab/>
      </w:r>
      <w:bookmarkStart w:id="15" w:name="_Toc1415_WPSOffice_Level2Page"/>
      <w:r>
        <w:rPr>
          <w:rFonts w:hint="eastAsia" w:ascii="仿宋" w:hAnsi="仿宋" w:eastAsia="仿宋" w:cs="仿宋"/>
          <w:sz w:val="24"/>
          <w:szCs w:val="24"/>
        </w:rPr>
        <w:t>14</w:t>
      </w:r>
      <w:bookmarkEnd w:id="15"/>
      <w:r>
        <w:rPr>
          <w:rFonts w:hint="eastAsia" w:ascii="仿宋" w:hAnsi="仿宋" w:eastAsia="仿宋" w:cs="仿宋"/>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_Toc2692_WPSOffice_Level2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（三）基础设施清单</w:t>
      </w:r>
      <w:r>
        <w:rPr>
          <w:rFonts w:hint="eastAsia" w:ascii="仿宋" w:hAnsi="仿宋" w:eastAsia="仿宋" w:cs="仿宋"/>
          <w:sz w:val="24"/>
          <w:szCs w:val="24"/>
        </w:rPr>
        <w:tab/>
      </w:r>
      <w:bookmarkStart w:id="16" w:name="_Toc2692_WPSOffice_Level2Page"/>
      <w:r>
        <w:rPr>
          <w:rFonts w:hint="eastAsia" w:ascii="仿宋" w:hAnsi="仿宋" w:eastAsia="仿宋" w:cs="仿宋"/>
          <w:sz w:val="24"/>
          <w:szCs w:val="24"/>
        </w:rPr>
        <w:t>14</w:t>
      </w:r>
      <w:bookmarkEnd w:id="16"/>
      <w:r>
        <w:rPr>
          <w:rFonts w:hint="eastAsia" w:ascii="仿宋" w:hAnsi="仿宋" w:eastAsia="仿宋" w:cs="仿宋"/>
          <w:sz w:val="24"/>
          <w:szCs w:val="24"/>
        </w:rPr>
        <w:fldChar w:fldCharType="end"/>
      </w:r>
    </w:p>
    <w:p>
      <w:pPr>
        <w:pStyle w:val="50"/>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rPr>
        <w:fldChar w:fldCharType="begin"/>
      </w:r>
      <w:r>
        <w:rPr>
          <w:rFonts w:hint="eastAsia" w:ascii="仿宋" w:hAnsi="仿宋" w:eastAsia="仿宋" w:cs="仿宋"/>
          <w:sz w:val="24"/>
          <w:szCs w:val="24"/>
        </w:rPr>
        <w:instrText xml:space="preserve"> HYPERLINK \l _Toc12229_WPSOffice_Level1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五、安全、健康要求</w:t>
      </w:r>
      <w:r>
        <w:rPr>
          <w:rFonts w:hint="eastAsia" w:ascii="仿宋" w:hAnsi="仿宋" w:eastAsia="仿宋" w:cs="仿宋"/>
          <w:b/>
          <w:bCs/>
          <w:sz w:val="24"/>
          <w:szCs w:val="24"/>
        </w:rPr>
        <w:tab/>
      </w:r>
      <w:bookmarkStart w:id="17" w:name="_Toc12229_WPSOffice_Level1Page"/>
      <w:r>
        <w:rPr>
          <w:rFonts w:hint="eastAsia" w:ascii="仿宋" w:hAnsi="仿宋" w:eastAsia="仿宋" w:cs="仿宋"/>
          <w:b/>
          <w:bCs/>
          <w:sz w:val="24"/>
          <w:szCs w:val="24"/>
        </w:rPr>
        <w:t>16</w:t>
      </w:r>
      <w:bookmarkEnd w:id="17"/>
      <w:r>
        <w:rPr>
          <w:rFonts w:hint="eastAsia" w:ascii="仿宋" w:hAnsi="仿宋" w:eastAsia="仿宋" w:cs="仿宋"/>
          <w:b/>
          <w:bCs/>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_Toc18247_WPSOffice_Level2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（一）选手安全防护要求</w:t>
      </w:r>
      <w:r>
        <w:rPr>
          <w:rFonts w:hint="eastAsia" w:ascii="仿宋" w:hAnsi="仿宋" w:eastAsia="仿宋" w:cs="仿宋"/>
          <w:sz w:val="24"/>
          <w:szCs w:val="24"/>
        </w:rPr>
        <w:tab/>
      </w:r>
      <w:bookmarkStart w:id="18" w:name="_Toc18247_WPSOffice_Level2Page"/>
      <w:r>
        <w:rPr>
          <w:rFonts w:hint="eastAsia" w:ascii="仿宋" w:hAnsi="仿宋" w:eastAsia="仿宋" w:cs="仿宋"/>
          <w:sz w:val="24"/>
          <w:szCs w:val="24"/>
        </w:rPr>
        <w:t>16</w:t>
      </w:r>
      <w:bookmarkEnd w:id="18"/>
      <w:r>
        <w:rPr>
          <w:rFonts w:hint="eastAsia" w:ascii="仿宋" w:hAnsi="仿宋" w:eastAsia="仿宋" w:cs="仿宋"/>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_Toc16155_WPSOffice_Level2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（二）车辆安全防护要求</w:t>
      </w:r>
      <w:r>
        <w:rPr>
          <w:rFonts w:hint="eastAsia" w:ascii="仿宋" w:hAnsi="仿宋" w:eastAsia="仿宋" w:cs="仿宋"/>
          <w:sz w:val="24"/>
          <w:szCs w:val="24"/>
        </w:rPr>
        <w:tab/>
      </w:r>
      <w:bookmarkStart w:id="19" w:name="_Toc16155_WPSOffice_Level2Page"/>
      <w:r>
        <w:rPr>
          <w:rFonts w:hint="eastAsia" w:ascii="仿宋" w:hAnsi="仿宋" w:eastAsia="仿宋" w:cs="仿宋"/>
          <w:sz w:val="24"/>
          <w:szCs w:val="24"/>
        </w:rPr>
        <w:t>17</w:t>
      </w:r>
      <w:bookmarkEnd w:id="19"/>
      <w:r>
        <w:rPr>
          <w:rFonts w:hint="eastAsia" w:ascii="仿宋" w:hAnsi="仿宋" w:eastAsia="仿宋" w:cs="仿宋"/>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_Toc24578_WPSOffice_Level2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（三）场地整洁保持要求</w:t>
      </w:r>
      <w:r>
        <w:rPr>
          <w:rFonts w:hint="eastAsia" w:ascii="仿宋" w:hAnsi="仿宋" w:eastAsia="仿宋" w:cs="仿宋"/>
          <w:sz w:val="24"/>
          <w:szCs w:val="24"/>
        </w:rPr>
        <w:tab/>
      </w:r>
      <w:bookmarkStart w:id="20" w:name="_Toc24578_WPSOffice_Level2Page"/>
      <w:r>
        <w:rPr>
          <w:rFonts w:hint="eastAsia" w:ascii="仿宋" w:hAnsi="仿宋" w:eastAsia="仿宋" w:cs="仿宋"/>
          <w:sz w:val="24"/>
          <w:szCs w:val="24"/>
        </w:rPr>
        <w:t>17</w:t>
      </w:r>
      <w:bookmarkEnd w:id="20"/>
      <w:r>
        <w:rPr>
          <w:rFonts w:hint="eastAsia" w:ascii="仿宋" w:hAnsi="仿宋" w:eastAsia="仿宋" w:cs="仿宋"/>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_Toc22999_WPSOffice_Level2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（四）医疗设备和措施</w:t>
      </w:r>
      <w:r>
        <w:rPr>
          <w:rFonts w:hint="eastAsia" w:ascii="仿宋" w:hAnsi="仿宋" w:eastAsia="仿宋" w:cs="仿宋"/>
          <w:sz w:val="24"/>
          <w:szCs w:val="24"/>
        </w:rPr>
        <w:tab/>
      </w:r>
      <w:bookmarkStart w:id="21" w:name="_Toc22999_WPSOffice_Level2Page"/>
      <w:r>
        <w:rPr>
          <w:rFonts w:hint="eastAsia" w:ascii="仿宋" w:hAnsi="仿宋" w:eastAsia="仿宋" w:cs="仿宋"/>
          <w:sz w:val="24"/>
          <w:szCs w:val="24"/>
        </w:rPr>
        <w:t>17</w:t>
      </w:r>
      <w:bookmarkEnd w:id="21"/>
      <w:r>
        <w:rPr>
          <w:rFonts w:hint="eastAsia" w:ascii="仿宋" w:hAnsi="仿宋" w:eastAsia="仿宋" w:cs="仿宋"/>
          <w:sz w:val="24"/>
          <w:szCs w:val="24"/>
        </w:rPr>
        <w:fldChar w:fldCharType="end"/>
      </w:r>
    </w:p>
    <w:p>
      <w:pPr>
        <w:pStyle w:val="50"/>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rPr>
        <w:fldChar w:fldCharType="begin"/>
      </w:r>
      <w:r>
        <w:rPr>
          <w:rFonts w:hint="eastAsia" w:ascii="仿宋" w:hAnsi="仿宋" w:eastAsia="仿宋" w:cs="仿宋"/>
          <w:sz w:val="24"/>
          <w:szCs w:val="24"/>
        </w:rPr>
        <w:instrText xml:space="preserve"> HYPERLINK \l _Toc13735_WPSOffice_Level1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六、开放赛场</w:t>
      </w:r>
      <w:r>
        <w:rPr>
          <w:rFonts w:hint="eastAsia" w:ascii="仿宋" w:hAnsi="仿宋" w:eastAsia="仿宋" w:cs="仿宋"/>
          <w:b/>
          <w:bCs/>
          <w:sz w:val="24"/>
          <w:szCs w:val="24"/>
        </w:rPr>
        <w:tab/>
      </w:r>
      <w:bookmarkStart w:id="22" w:name="_Toc13735_WPSOffice_Level1Page"/>
      <w:r>
        <w:rPr>
          <w:rFonts w:hint="eastAsia" w:ascii="仿宋" w:hAnsi="仿宋" w:eastAsia="仿宋" w:cs="仿宋"/>
          <w:b/>
          <w:bCs/>
          <w:sz w:val="24"/>
          <w:szCs w:val="24"/>
        </w:rPr>
        <w:t>18</w:t>
      </w:r>
      <w:bookmarkEnd w:id="22"/>
      <w:r>
        <w:rPr>
          <w:rFonts w:hint="eastAsia" w:ascii="仿宋" w:hAnsi="仿宋" w:eastAsia="仿宋" w:cs="仿宋"/>
          <w:b/>
          <w:bCs/>
          <w:sz w:val="24"/>
          <w:szCs w:val="24"/>
        </w:rPr>
        <w:fldChar w:fldCharType="end"/>
      </w:r>
    </w:p>
    <w:p>
      <w:pPr>
        <w:pStyle w:val="50"/>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rPr>
        <w:fldChar w:fldCharType="begin"/>
      </w:r>
      <w:r>
        <w:rPr>
          <w:rFonts w:hint="eastAsia" w:ascii="仿宋" w:hAnsi="仿宋" w:eastAsia="仿宋" w:cs="仿宋"/>
          <w:sz w:val="24"/>
          <w:szCs w:val="24"/>
        </w:rPr>
        <w:instrText xml:space="preserve"> HYPERLINK \l _Toc27002_WPSOffice_Level1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七、申诉与仲裁</w:t>
      </w:r>
      <w:r>
        <w:rPr>
          <w:rFonts w:hint="eastAsia" w:ascii="仿宋" w:hAnsi="仿宋" w:eastAsia="仿宋" w:cs="仿宋"/>
          <w:b/>
          <w:bCs/>
          <w:sz w:val="24"/>
          <w:szCs w:val="24"/>
        </w:rPr>
        <w:tab/>
      </w:r>
      <w:bookmarkStart w:id="23" w:name="_Toc27002_WPSOffice_Level1Page"/>
      <w:r>
        <w:rPr>
          <w:rFonts w:hint="eastAsia" w:ascii="仿宋" w:hAnsi="仿宋" w:eastAsia="仿宋" w:cs="仿宋"/>
          <w:b/>
          <w:bCs/>
          <w:sz w:val="24"/>
          <w:szCs w:val="24"/>
        </w:rPr>
        <w:t>18</w:t>
      </w:r>
      <w:bookmarkEnd w:id="23"/>
      <w:r>
        <w:rPr>
          <w:rFonts w:hint="eastAsia" w:ascii="仿宋" w:hAnsi="仿宋" w:eastAsia="仿宋" w:cs="仿宋"/>
          <w:b/>
          <w:bCs/>
          <w:sz w:val="24"/>
          <w:szCs w:val="24"/>
        </w:rPr>
        <w:fldChar w:fldCharType="end"/>
      </w:r>
    </w:p>
    <w:p>
      <w:pPr>
        <w:pStyle w:val="50"/>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rPr>
        <w:fldChar w:fldCharType="begin"/>
      </w:r>
      <w:r>
        <w:rPr>
          <w:rFonts w:hint="eastAsia" w:ascii="仿宋" w:hAnsi="仿宋" w:eastAsia="仿宋" w:cs="仿宋"/>
          <w:sz w:val="24"/>
          <w:szCs w:val="24"/>
        </w:rPr>
        <w:instrText xml:space="preserve"> HYPERLINK \l _Toc20136_WPSOffice_Level1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八、其他</w:t>
      </w:r>
      <w:r>
        <w:rPr>
          <w:rFonts w:hint="eastAsia" w:ascii="仿宋" w:hAnsi="仿宋" w:eastAsia="仿宋" w:cs="仿宋"/>
          <w:b/>
          <w:bCs/>
          <w:sz w:val="24"/>
          <w:szCs w:val="24"/>
        </w:rPr>
        <w:tab/>
      </w:r>
      <w:bookmarkStart w:id="24" w:name="_Toc20136_WPSOffice_Level1Page"/>
      <w:r>
        <w:rPr>
          <w:rFonts w:hint="eastAsia" w:ascii="仿宋" w:hAnsi="仿宋" w:eastAsia="仿宋" w:cs="仿宋"/>
          <w:b/>
          <w:bCs/>
          <w:sz w:val="24"/>
          <w:szCs w:val="24"/>
        </w:rPr>
        <w:t>18</w:t>
      </w:r>
      <w:bookmarkEnd w:id="24"/>
      <w:r>
        <w:rPr>
          <w:rFonts w:hint="eastAsia" w:ascii="仿宋" w:hAnsi="仿宋" w:eastAsia="仿宋" w:cs="仿宋"/>
          <w:b/>
          <w:bCs/>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_Toc23001_WPSOffice_Level2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（一）智能网联汽车乘用车平台技术指标</w:t>
      </w:r>
      <w:r>
        <w:rPr>
          <w:rFonts w:hint="eastAsia" w:ascii="仿宋" w:hAnsi="仿宋" w:eastAsia="仿宋" w:cs="仿宋"/>
          <w:sz w:val="24"/>
          <w:szCs w:val="24"/>
        </w:rPr>
        <w:tab/>
      </w:r>
      <w:bookmarkStart w:id="25" w:name="_Toc23001_WPSOffice_Level2Page"/>
      <w:r>
        <w:rPr>
          <w:rFonts w:hint="eastAsia" w:ascii="仿宋" w:hAnsi="仿宋" w:eastAsia="仿宋" w:cs="仿宋"/>
          <w:sz w:val="24"/>
          <w:szCs w:val="24"/>
        </w:rPr>
        <w:t>20</w:t>
      </w:r>
      <w:bookmarkEnd w:id="25"/>
      <w:r>
        <w:rPr>
          <w:rFonts w:hint="eastAsia" w:ascii="仿宋" w:hAnsi="仿宋" w:eastAsia="仿宋" w:cs="仿宋"/>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_Toc4617_WPSOffice_Level2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（二）智能网联汽车仿真平台</w:t>
      </w:r>
      <w:r>
        <w:rPr>
          <w:rFonts w:hint="eastAsia" w:ascii="仿宋" w:hAnsi="仿宋" w:eastAsia="仿宋" w:cs="仿宋"/>
          <w:sz w:val="24"/>
          <w:szCs w:val="24"/>
        </w:rPr>
        <w:tab/>
      </w:r>
      <w:bookmarkStart w:id="26" w:name="_Toc4617_WPSOffice_Level2Page"/>
      <w:r>
        <w:rPr>
          <w:rFonts w:hint="eastAsia" w:ascii="仿宋" w:hAnsi="仿宋" w:eastAsia="仿宋" w:cs="仿宋"/>
          <w:sz w:val="24"/>
          <w:szCs w:val="24"/>
        </w:rPr>
        <w:t>25</w:t>
      </w:r>
      <w:bookmarkEnd w:id="26"/>
      <w:r>
        <w:rPr>
          <w:rFonts w:hint="eastAsia" w:ascii="仿宋" w:hAnsi="仿宋" w:eastAsia="仿宋" w:cs="仿宋"/>
          <w:sz w:val="24"/>
          <w:szCs w:val="24"/>
        </w:rPr>
        <w:fldChar w:fldCharType="end"/>
      </w:r>
    </w:p>
    <w:p>
      <w:pPr>
        <w:pStyle w:val="51"/>
        <w:keepNext w:val="0"/>
        <w:keepLines w:val="0"/>
        <w:pageBreakBefore w:val="0"/>
        <w:tabs>
          <w:tab w:val="right" w:leader="dot" w:pos="8618"/>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_Toc32354_WPSOffice_Level2 </w:instrText>
      </w:r>
      <w:r>
        <w:rPr>
          <w:rFonts w:hint="eastAsia" w:ascii="仿宋" w:hAnsi="仿宋" w:eastAsia="仿宋" w:cs="仿宋"/>
          <w:sz w:val="24"/>
          <w:szCs w:val="24"/>
        </w:rPr>
        <w:fldChar w:fldCharType="separate"/>
      </w:r>
      <w:r>
        <w:rPr>
          <w:rFonts w:hint="eastAsia" w:ascii="仿宋" w:hAnsi="仿宋" w:eastAsia="仿宋" w:cs="仿宋"/>
          <w:sz w:val="24"/>
          <w:szCs w:val="24"/>
        </w:rPr>
        <w:t>（三）智能网联汽车车联网平台</w:t>
      </w:r>
      <w:r>
        <w:rPr>
          <w:rFonts w:hint="eastAsia" w:ascii="仿宋" w:hAnsi="仿宋" w:eastAsia="仿宋" w:cs="仿宋"/>
          <w:sz w:val="24"/>
          <w:szCs w:val="24"/>
        </w:rPr>
        <w:tab/>
      </w:r>
      <w:bookmarkStart w:id="27" w:name="_Toc32354_WPSOffice_Level2Page"/>
      <w:r>
        <w:rPr>
          <w:rFonts w:hint="eastAsia" w:ascii="仿宋" w:hAnsi="仿宋" w:eastAsia="仿宋" w:cs="仿宋"/>
          <w:sz w:val="24"/>
          <w:szCs w:val="24"/>
        </w:rPr>
        <w:t>25</w:t>
      </w:r>
      <w:bookmarkEnd w:id="27"/>
      <w:r>
        <w:rPr>
          <w:rFonts w:hint="eastAsia" w:ascii="仿宋" w:hAnsi="仿宋" w:eastAsia="仿宋" w:cs="仿宋"/>
          <w:sz w:val="24"/>
          <w:szCs w:val="24"/>
        </w:rPr>
        <w:fldChar w:fldCharType="end"/>
      </w:r>
      <w:bookmarkEnd w:id="2"/>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仿宋" w:hAnsi="仿宋" w:eastAsia="仿宋" w:cs="仿宋"/>
          <w:sz w:val="24"/>
          <w:szCs w:val="24"/>
        </w:rPr>
        <w:sectPr>
          <w:headerReference r:id="rId3" w:type="default"/>
          <w:footerReference r:id="rId4" w:type="default"/>
          <w:pgSz w:w="11906" w:h="16838"/>
          <w:pgMar w:top="1440" w:right="1644" w:bottom="1440" w:left="1644" w:header="851" w:footer="992" w:gutter="0"/>
          <w:pgNumType w:start="30"/>
          <w:cols w:space="720" w:num="1"/>
          <w:docGrid w:type="linesAndChars" w:linePitch="319"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ascii="LinTimes" w:hAnsi="LinTimes" w:eastAsia="黑体" w:cs="Times New Roman"/>
          <w:sz w:val="32"/>
          <w:szCs w:val="32"/>
        </w:rPr>
      </w:pPr>
      <w:bookmarkStart w:id="28" w:name="_Toc16493_WPSOffice_Level1"/>
      <w:r>
        <w:rPr>
          <w:rFonts w:hint="eastAsia" w:ascii="LinTimes" w:hAnsi="LinTimes" w:eastAsia="黑体" w:cs="黑体"/>
          <w:sz w:val="32"/>
          <w:szCs w:val="32"/>
        </w:rPr>
        <w:t>一、技术描述</w:t>
      </w:r>
      <w:bookmarkEnd w:id="2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ascii="LinTimes" w:hAnsi="LinTimes" w:eastAsia="楷体" w:cs="Times New Roman"/>
          <w:sz w:val="32"/>
          <w:szCs w:val="32"/>
        </w:rPr>
      </w:pPr>
      <w:bookmarkStart w:id="29" w:name="_Toc19252_WPSOffice_Level2"/>
      <w:r>
        <w:rPr>
          <w:rFonts w:hint="eastAsia" w:ascii="LinTimes" w:hAnsi="LinTimes" w:eastAsia="楷体" w:cs="楷体"/>
          <w:sz w:val="32"/>
          <w:szCs w:val="32"/>
        </w:rPr>
        <w:t>（一）项目概要</w:t>
      </w:r>
      <w:bookmarkEnd w:id="29"/>
    </w:p>
    <w:p>
      <w:pPr>
        <w:spacing w:line="560" w:lineRule="exact"/>
        <w:ind w:firstLine="640" w:firstLineChars="200"/>
        <w:rPr>
          <w:rFonts w:hint="eastAsia" w:ascii="LinTimes" w:hAnsi="LinTimes" w:eastAsia="仿宋" w:cs="仿宋"/>
          <w:sz w:val="32"/>
          <w:szCs w:val="32"/>
        </w:rPr>
      </w:pPr>
      <w:r>
        <w:rPr>
          <w:rFonts w:hint="eastAsia" w:ascii="LinTimes" w:hAnsi="LinTimes" w:eastAsia="仿宋" w:cs="仿宋"/>
          <w:sz w:val="32"/>
          <w:szCs w:val="32"/>
        </w:rPr>
        <w:t>根据新能源汽车产业发展趋势，围绕新能源汽车车路协同技术进行赛项设计，旨在提升新能源汽车企业应用和服务能力，引领职业院校相关专业人才培养和课程建设，实现以赛促产、以赛促教，推动产教融合、校企合作，提高职业院校人才培养质量。本赛项强调前瞻性和科普性，鼓励参赛选手独立开展智能化和网联化设备装调、仿真场景搭建测试、道路测试和安全运维等工作，提升智能网联汽车环境感知、路径规划与自主决策验证、功能测试、安全营运与维护等能力。</w:t>
      </w:r>
    </w:p>
    <w:p>
      <w:pPr>
        <w:spacing w:line="560" w:lineRule="exact"/>
        <w:ind w:firstLine="640" w:firstLineChars="200"/>
        <w:rPr>
          <w:rFonts w:hint="eastAsia" w:ascii="LinTimes" w:hAnsi="LinTimes" w:eastAsia="仿宋" w:cs="仿宋"/>
          <w:sz w:val="32"/>
          <w:szCs w:val="32"/>
        </w:rPr>
      </w:pPr>
      <w:r>
        <w:rPr>
          <w:rFonts w:hint="eastAsia" w:ascii="LinTimes" w:hAnsi="LinTimes" w:eastAsia="仿宋" w:cs="仿宋"/>
          <w:sz w:val="32"/>
          <w:szCs w:val="32"/>
        </w:rPr>
        <w:t>本赛项分为职工（含教师）组和学生组两个竞赛组别，各组别均为双人组队参赛，两个组别在竞赛平台与内容上有区别，本竞赛规程针对职工组。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LinTimes" w:hAnsi="LinTimes" w:eastAsia="楷体" w:cs="楷体"/>
          <w:sz w:val="32"/>
          <w:szCs w:val="32"/>
        </w:rPr>
      </w:pPr>
      <w:bookmarkStart w:id="30" w:name="_Toc24007_WPSOffice_Level2"/>
      <w:r>
        <w:rPr>
          <w:rFonts w:hint="eastAsia" w:ascii="LinTimes" w:hAnsi="LinTimes" w:eastAsia="楷体" w:cs="楷体"/>
          <w:sz w:val="32"/>
          <w:szCs w:val="32"/>
        </w:rPr>
        <w:t>（二）基本知识与能力要求</w:t>
      </w:r>
      <w:bookmarkEnd w:id="30"/>
    </w:p>
    <w:p>
      <w:pPr>
        <w:spacing w:line="586"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本赛项旨在促进复合型高层次技能人才培养，为新能源汽车产业发展提供人才支撑，</w:t>
      </w:r>
      <w:bookmarkStart w:id="31" w:name="OLE_LINK8"/>
      <w:bookmarkStart w:id="32" w:name="OLE_LINK7"/>
      <w:r>
        <w:rPr>
          <w:rFonts w:hint="eastAsia" w:ascii="仿宋_GB2312" w:hAnsi="仿宋_GB2312" w:eastAsia="仿宋_GB2312" w:cs="仿宋_GB2312"/>
          <w:sz w:val="32"/>
          <w:szCs w:val="32"/>
        </w:rPr>
        <w:t>赛项共设置理论考试及实操考核两个环节</w:t>
      </w:r>
      <w:bookmarkEnd w:id="31"/>
      <w:bookmarkEnd w:id="32"/>
      <w:r>
        <w:rPr>
          <w:rFonts w:hint="eastAsia" w:ascii="仿宋_GB2312" w:hAnsi="仿宋_GB2312" w:eastAsia="仿宋_GB2312" w:cs="仿宋_GB2312"/>
          <w:sz w:val="32"/>
          <w:szCs w:val="32"/>
        </w:rPr>
        <w:t>。选手理论知识、工作能力的要求以及各项要求的权重比例见下表1</w:t>
      </w:r>
      <w:r>
        <w:rPr>
          <w:rFonts w:hint="eastAsia" w:ascii="仿宋_GB2312" w:hAnsi="仿宋_GB2312" w:eastAsia="仿宋_GB2312" w:cs="仿宋_GB2312"/>
          <w:sz w:val="32"/>
          <w:szCs w:val="32"/>
          <w:lang w:eastAsia="zh-CN"/>
        </w:rPr>
        <w:t>：</w:t>
      </w:r>
    </w:p>
    <w:p>
      <w:pPr>
        <w:widowControl w:val="0"/>
        <w:spacing w:line="560" w:lineRule="exact"/>
        <w:ind w:firstLine="480" w:firstLineChars="200"/>
        <w:jc w:val="center"/>
        <w:rPr>
          <w:rFonts w:hint="eastAsia"/>
          <w:lang w:eastAsia="zh-CN"/>
        </w:rPr>
      </w:pPr>
      <w:r>
        <w:rPr>
          <w:rFonts w:hint="eastAsia" w:ascii="Calibri" w:hAnsi="Calibri" w:eastAsia="仿宋_GB2312" w:cs="Times New Roman"/>
          <w:kern w:val="2"/>
          <w:sz w:val="24"/>
          <w:szCs w:val="21"/>
          <w:lang w:val="en-US" w:eastAsia="zh-CN" w:bidi="ar-SA"/>
        </w:rPr>
        <w:t>表1</w:t>
      </w:r>
      <w:r>
        <w:rPr>
          <w:rFonts w:ascii="Calibri" w:hAnsi="Calibri" w:eastAsia="仿宋_GB2312" w:cs="Times New Roman"/>
          <w:kern w:val="2"/>
          <w:sz w:val="24"/>
          <w:szCs w:val="21"/>
          <w:lang w:val="en-US" w:eastAsia="zh-CN" w:bidi="ar-SA"/>
        </w:rPr>
        <w:t xml:space="preserve"> </w:t>
      </w:r>
      <w:r>
        <w:rPr>
          <w:rFonts w:hint="eastAsia" w:ascii="Calibri" w:hAnsi="Calibri" w:eastAsia="仿宋_GB2312" w:cs="Times New Roman"/>
          <w:kern w:val="2"/>
          <w:sz w:val="24"/>
          <w:szCs w:val="21"/>
          <w:lang w:val="en-US" w:eastAsia="zh-CN" w:bidi="ar-SA"/>
        </w:rPr>
        <w:t>基本知识与能力要求权重表</w:t>
      </w:r>
    </w:p>
    <w:tbl>
      <w:tblPr>
        <w:tblStyle w:val="18"/>
        <w:tblW w:w="8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5353"/>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6941"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before="159" w:beforeLines="50" w:after="159" w:afterLines="50" w:line="240" w:lineRule="atLeast"/>
              <w:jc w:val="center"/>
              <w:rPr>
                <w:rFonts w:ascii="宋体" w:hAnsi="宋体" w:eastAsia="宋体" w:cs="宋体"/>
                <w:b/>
                <w:caps/>
                <w:color w:val="auto"/>
                <w:kern w:val="0"/>
                <w:sz w:val="24"/>
                <w:szCs w:val="24"/>
                <w:lang w:val="en-GB" w:eastAsia="zh-CN" w:bidi="ar-SA"/>
              </w:rPr>
            </w:pPr>
            <w:r>
              <w:rPr>
                <w:rFonts w:hint="eastAsia" w:ascii="宋体" w:hAnsi="宋体" w:eastAsia="宋体" w:cs="宋体"/>
                <w:b/>
                <w:caps/>
                <w:color w:val="auto"/>
                <w:kern w:val="0"/>
                <w:sz w:val="24"/>
                <w:szCs w:val="24"/>
                <w:lang w:val="en-GB" w:eastAsia="zh-CN" w:bidi="ar-SA"/>
              </w:rPr>
              <w:t>相关要求</w:t>
            </w:r>
          </w:p>
        </w:tc>
        <w:tc>
          <w:tcPr>
            <w:tcW w:w="1697" w:type="dxa"/>
            <w:tcBorders>
              <w:top w:val="single" w:color="auto" w:sz="4" w:space="0"/>
              <w:left w:val="single" w:color="auto" w:sz="4" w:space="0"/>
              <w:bottom w:val="single" w:color="auto" w:sz="4" w:space="0"/>
              <w:right w:val="single" w:color="auto" w:sz="4" w:space="0"/>
            </w:tcBorders>
            <w:vAlign w:val="center"/>
          </w:tcPr>
          <w:p>
            <w:pPr>
              <w:widowControl/>
              <w:snapToGrid w:val="0"/>
              <w:spacing w:before="159" w:beforeLines="50" w:after="159" w:afterLines="50" w:line="240" w:lineRule="atLeast"/>
              <w:jc w:val="both"/>
              <w:rPr>
                <w:rFonts w:ascii="宋体" w:hAnsi="宋体" w:eastAsia="宋体" w:cs="宋体"/>
                <w:b/>
                <w:caps/>
                <w:color w:val="auto"/>
                <w:kern w:val="0"/>
                <w:sz w:val="24"/>
                <w:szCs w:val="24"/>
                <w:lang w:val="en-GB" w:eastAsia="en-US" w:bidi="ar-SA"/>
              </w:rPr>
            </w:pPr>
            <w:r>
              <w:rPr>
                <w:rFonts w:hint="eastAsia" w:ascii="宋体" w:hAnsi="宋体" w:eastAsia="宋体" w:cs="宋体"/>
                <w:b/>
                <w:caps/>
                <w:color w:val="auto"/>
                <w:kern w:val="0"/>
                <w:sz w:val="24"/>
                <w:szCs w:val="24"/>
                <w:lang w:val="en-GB" w:eastAsia="zh-CN" w:bidi="ar-SA"/>
              </w:rPr>
              <w:t>权重比例</w:t>
            </w:r>
            <w:r>
              <w:rPr>
                <w:rFonts w:hint="eastAsia" w:ascii="宋体" w:hAnsi="宋体" w:eastAsia="宋体" w:cs="宋体"/>
                <w:b/>
                <w:caps/>
                <w:color w:val="auto"/>
                <w:kern w:val="0"/>
                <w:sz w:val="24"/>
                <w:szCs w:val="24"/>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pPr>
              <w:widowControl/>
              <w:snapToGrid w:val="0"/>
              <w:spacing w:before="159" w:beforeLines="50" w:after="159" w:afterLines="50" w:line="240" w:lineRule="atLeast"/>
              <w:jc w:val="center"/>
              <w:rPr>
                <w:rFonts w:ascii="宋体" w:hAnsi="宋体" w:eastAsia="宋体" w:cs="宋体"/>
                <w:b/>
                <w:color w:val="auto"/>
                <w:kern w:val="0"/>
                <w:sz w:val="24"/>
                <w:szCs w:val="24"/>
                <w:lang w:val="en-GB" w:eastAsia="en-US" w:bidi="ar-SA"/>
              </w:rPr>
            </w:pPr>
            <w:r>
              <w:rPr>
                <w:rFonts w:hint="eastAsia" w:ascii="宋体" w:hAnsi="宋体" w:eastAsia="宋体" w:cs="宋体"/>
                <w:b/>
                <w:color w:val="auto"/>
                <w:kern w:val="0"/>
                <w:sz w:val="24"/>
                <w:szCs w:val="24"/>
                <w:lang w:val="en-GB" w:eastAsia="en-US" w:bidi="ar-SA"/>
              </w:rPr>
              <w:t>1</w:t>
            </w:r>
          </w:p>
        </w:tc>
        <w:tc>
          <w:tcPr>
            <w:tcW w:w="5353" w:type="dxa"/>
            <w:tcBorders>
              <w:top w:val="single" w:color="auto" w:sz="4" w:space="0"/>
              <w:left w:val="single" w:color="auto" w:sz="4" w:space="0"/>
              <w:bottom w:val="single" w:color="auto" w:sz="4" w:space="0"/>
              <w:right w:val="single" w:color="auto" w:sz="4" w:space="0"/>
            </w:tcBorders>
            <w:vAlign w:val="center"/>
          </w:tcPr>
          <w:p>
            <w:pPr>
              <w:snapToGrid w:val="0"/>
              <w:spacing w:before="159" w:beforeLines="50" w:after="159" w:afterLines="50" w:line="240" w:lineRule="atLeast"/>
              <w:rPr>
                <w:rFonts w:ascii="宋体" w:hAnsi="宋体" w:cs="宋体"/>
                <w:sz w:val="24"/>
                <w:szCs w:val="24"/>
              </w:rPr>
            </w:pPr>
            <w:r>
              <w:rPr>
                <w:rFonts w:hint="eastAsia" w:ascii="宋体" w:hAnsi="宋体" w:cs="宋体"/>
                <w:b/>
                <w:bCs/>
                <w:sz w:val="24"/>
                <w:szCs w:val="24"/>
              </w:rPr>
              <w:t>工作组织和管理</w:t>
            </w:r>
          </w:p>
        </w:tc>
        <w:tc>
          <w:tcPr>
            <w:tcW w:w="1697" w:type="dxa"/>
            <w:vMerge w:val="restart"/>
            <w:tcBorders>
              <w:top w:val="single" w:color="auto" w:sz="4" w:space="0"/>
              <w:left w:val="single" w:color="auto" w:sz="4" w:space="0"/>
              <w:bottom w:val="single" w:color="auto" w:sz="4" w:space="0"/>
              <w:right w:val="single" w:color="auto" w:sz="4" w:space="0"/>
            </w:tcBorders>
            <w:vAlign w:val="center"/>
          </w:tcPr>
          <w:p>
            <w:pPr>
              <w:widowControl/>
              <w:snapToGrid w:val="0"/>
              <w:spacing w:before="159" w:beforeLines="50" w:after="159" w:afterLines="50" w:line="240" w:lineRule="atLeast"/>
              <w:jc w:val="center"/>
              <w:rPr>
                <w:rFonts w:ascii="宋体" w:hAnsi="宋体" w:eastAsia="宋体" w:cs="宋体"/>
                <w:bCs/>
                <w:color w:val="auto"/>
                <w:kern w:val="0"/>
                <w:sz w:val="24"/>
                <w:szCs w:val="24"/>
                <w:lang w:val="en-GB" w:eastAsia="en-US" w:bidi="ar-SA"/>
              </w:rPr>
            </w:pPr>
            <w:r>
              <w:rPr>
                <w:rFonts w:hint="eastAsia" w:ascii="宋体" w:hAnsi="宋体" w:eastAsia="宋体" w:cs="宋体"/>
                <w:bCs/>
                <w:color w:val="auto"/>
                <w:kern w:val="0"/>
                <w:sz w:val="24"/>
                <w:szCs w:val="24"/>
                <w:lang w:val="en-GB"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基本知识</w:t>
            </w:r>
          </w:p>
        </w:tc>
        <w:tc>
          <w:tcPr>
            <w:tcW w:w="5353" w:type="dxa"/>
            <w:tcBorders>
              <w:top w:val="single" w:color="auto" w:sz="4" w:space="0"/>
              <w:left w:val="single" w:color="auto" w:sz="4" w:space="0"/>
              <w:bottom w:val="single" w:color="auto" w:sz="4" w:space="0"/>
              <w:right w:val="single" w:color="auto" w:sz="4" w:space="0"/>
            </w:tcBorders>
            <w:vAlign w:val="center"/>
          </w:tcPr>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所有设备的功能、使用、保养以及安全事项</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所用材料的用途、使用、保管以及潜在风险</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相关操作的困难和风险，及其产生的原因和预防措施</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可用的时间以及工作量</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工作计划时需考量的参数</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任何时间都应遵守的健康和安全标准</w:t>
            </w:r>
          </w:p>
          <w:p>
            <w:pPr>
              <w:widowControl/>
              <w:numPr>
                <w:ilvl w:val="0"/>
                <w:numId w:val="3"/>
              </w:numPr>
              <w:snapToGrid w:val="0"/>
              <w:spacing w:line="240" w:lineRule="atLeast"/>
              <w:ind w:left="420" w:leftChars="0" w:hanging="420" w:firstLineChars="0"/>
              <w:jc w:val="left"/>
              <w:rPr>
                <w:rFonts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环保和安全准则，及其工作环境整洁的保持</w:t>
            </w: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left"/>
              <w:rPr>
                <w:rFonts w:ascii="宋体" w:hAnsi="宋体" w:cs="宋体"/>
                <w:bCs/>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工作能力</w:t>
            </w:r>
          </w:p>
        </w:tc>
        <w:tc>
          <w:tcPr>
            <w:tcW w:w="5353" w:type="dxa"/>
            <w:tcBorders>
              <w:top w:val="single" w:color="auto" w:sz="4" w:space="0"/>
              <w:left w:val="single" w:color="auto" w:sz="4" w:space="0"/>
              <w:bottom w:val="single" w:color="auto" w:sz="4" w:space="0"/>
              <w:right w:val="single" w:color="auto" w:sz="4" w:space="0"/>
            </w:tcBorders>
            <w:vAlign w:val="center"/>
          </w:tcPr>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准备并维护一个安全、整洁和高效的工作台</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准备好个人健康和安全相关的工作</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计划、准备并按时完成每一项任务</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计划好工作，高效实施，避免中断</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遵循厂家要求选择使用设备和材料，确保安全</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遵循厂家要求清洁、储存和测试设备和材料，确保安全</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遵循或超过有关环保、设备和材料的健康和安全标准</w:t>
            </w:r>
          </w:p>
          <w:p>
            <w:pPr>
              <w:widowControl/>
              <w:numPr>
                <w:ilvl w:val="0"/>
                <w:numId w:val="3"/>
              </w:numPr>
              <w:snapToGrid w:val="0"/>
              <w:spacing w:line="240" w:lineRule="atLeast"/>
              <w:ind w:left="420" w:leftChars="0" w:hanging="420" w:firstLineChars="0"/>
              <w:jc w:val="left"/>
              <w:rPr>
                <w:rFonts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将工作场地和车辆恢复到良好的状态和条件</w:t>
            </w: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left"/>
              <w:rPr>
                <w:rFonts w:ascii="宋体" w:hAnsi="宋体" w:cs="宋体"/>
                <w:bCs/>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pPr>
              <w:widowControl/>
              <w:snapToGrid w:val="0"/>
              <w:spacing w:before="159" w:beforeLines="50" w:after="159" w:afterLines="50" w:line="240" w:lineRule="atLeast"/>
              <w:jc w:val="center"/>
              <w:rPr>
                <w:rFonts w:ascii="宋体" w:hAnsi="宋体" w:eastAsia="宋体" w:cs="宋体"/>
                <w:b/>
                <w:color w:val="auto"/>
                <w:kern w:val="0"/>
                <w:sz w:val="24"/>
                <w:szCs w:val="24"/>
                <w:lang w:val="en-GB" w:eastAsia="en-US" w:bidi="ar-SA"/>
              </w:rPr>
            </w:pPr>
            <w:r>
              <w:rPr>
                <w:rFonts w:hint="eastAsia" w:ascii="宋体" w:hAnsi="宋体" w:eastAsia="宋体" w:cs="宋体"/>
                <w:b/>
                <w:color w:val="auto"/>
                <w:kern w:val="0"/>
                <w:sz w:val="24"/>
                <w:szCs w:val="24"/>
                <w:lang w:val="en-GB" w:eastAsia="en-US" w:bidi="ar-SA"/>
              </w:rPr>
              <w:t>2</w:t>
            </w:r>
          </w:p>
        </w:tc>
        <w:tc>
          <w:tcPr>
            <w:tcW w:w="535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color w:val="auto"/>
                <w:kern w:val="0"/>
                <w:sz w:val="24"/>
                <w:szCs w:val="24"/>
                <w:lang w:val="en-GB" w:eastAsia="en-US" w:bidi="ar-SA"/>
              </w:rPr>
            </w:pPr>
            <w:r>
              <w:rPr>
                <w:rFonts w:hint="eastAsia" w:ascii="宋体" w:hAnsi="宋体" w:eastAsia="宋体" w:cs="宋体"/>
                <w:b/>
                <w:color w:val="auto"/>
                <w:kern w:val="0"/>
                <w:sz w:val="24"/>
                <w:szCs w:val="24"/>
                <w:lang w:val="en-GB" w:eastAsia="en-US" w:bidi="ar-SA"/>
              </w:rPr>
              <w:t>沟通和人际交往</w:t>
            </w:r>
          </w:p>
        </w:tc>
        <w:tc>
          <w:tcPr>
            <w:tcW w:w="1697" w:type="dxa"/>
            <w:vMerge w:val="restart"/>
            <w:tcBorders>
              <w:top w:val="single" w:color="auto" w:sz="4" w:space="0"/>
              <w:left w:val="single" w:color="auto" w:sz="4" w:space="0"/>
              <w:bottom w:val="single" w:color="auto" w:sz="4" w:space="0"/>
              <w:right w:val="single" w:color="auto" w:sz="4" w:space="0"/>
            </w:tcBorders>
            <w:vAlign w:val="center"/>
          </w:tcPr>
          <w:p>
            <w:pPr>
              <w:widowControl/>
              <w:snapToGrid w:val="0"/>
              <w:spacing w:before="159" w:beforeLines="50" w:after="159" w:afterLines="50" w:line="240" w:lineRule="atLeast"/>
              <w:jc w:val="center"/>
              <w:rPr>
                <w:rFonts w:ascii="宋体" w:hAnsi="宋体" w:eastAsia="宋体" w:cs="宋体"/>
                <w:bCs/>
                <w:color w:val="auto"/>
                <w:kern w:val="0"/>
                <w:sz w:val="24"/>
                <w:szCs w:val="24"/>
                <w:lang w:val="en-GB" w:eastAsia="en-US" w:bidi="ar-SA"/>
              </w:rPr>
            </w:pPr>
            <w:r>
              <w:rPr>
                <w:rFonts w:ascii="宋体" w:hAnsi="宋体" w:eastAsia="宋体" w:cs="宋体"/>
                <w:bCs/>
                <w:color w:val="auto"/>
                <w:kern w:val="0"/>
                <w:sz w:val="24"/>
                <w:szCs w:val="24"/>
                <w:lang w:val="en-GB"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基本知识</w:t>
            </w:r>
          </w:p>
        </w:tc>
        <w:tc>
          <w:tcPr>
            <w:tcW w:w="5353" w:type="dxa"/>
            <w:tcBorders>
              <w:top w:val="single" w:color="auto" w:sz="4" w:space="0"/>
              <w:left w:val="single" w:color="auto" w:sz="4" w:space="0"/>
              <w:bottom w:val="single" w:color="auto" w:sz="4" w:space="0"/>
              <w:right w:val="single" w:color="auto" w:sz="4" w:space="0"/>
            </w:tcBorders>
            <w:vAlign w:val="center"/>
          </w:tcPr>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纸质或电子形式技术文件的范围和内容</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与技能有关的专业语言（术语）</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以口头、书写或电子形式汇报交流的规范</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测量仪器输出结果和结论的本质含义</w:t>
            </w:r>
          </w:p>
          <w:p>
            <w:pPr>
              <w:widowControl/>
              <w:numPr>
                <w:ilvl w:val="0"/>
                <w:numId w:val="3"/>
              </w:numPr>
              <w:snapToGrid w:val="0"/>
              <w:spacing w:line="240" w:lineRule="atLeast"/>
              <w:ind w:left="420" w:leftChars="0" w:hanging="420" w:firstLineChars="0"/>
              <w:jc w:val="left"/>
              <w:rPr>
                <w:rFonts w:ascii="仿宋_GB2312" w:hAnsi="仿宋_GB2312" w:eastAsia="仿宋_GB2312" w:cs="仿宋_GB2312"/>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客户服务和沟通的规范</w:t>
            </w: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left"/>
              <w:rPr>
                <w:rFonts w:hint="eastAsia" w:ascii="LinTimes" w:hAnsi="LinTimes" w:cs="LinTimes"/>
                <w:b/>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工作能力</w:t>
            </w:r>
          </w:p>
        </w:tc>
        <w:tc>
          <w:tcPr>
            <w:tcW w:w="5353" w:type="dxa"/>
            <w:tcBorders>
              <w:top w:val="single" w:color="auto" w:sz="4" w:space="0"/>
              <w:left w:val="single" w:color="auto" w:sz="4" w:space="0"/>
              <w:bottom w:val="single" w:color="auto" w:sz="4" w:space="0"/>
              <w:right w:val="single" w:color="auto" w:sz="4" w:space="0"/>
            </w:tcBorders>
            <w:vAlign w:val="center"/>
          </w:tcPr>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从各种形式的维修资料中读取中英文技术数据和相关说明</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在工作场所，以规范的书写或电子的方式进行沟通</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在工作场所，以口头、书写或电子的方式沟通，确保清晰、有效、高效</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使用一些规范的沟通技巧</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填写报告单，对出现的事件和问题做出回应</w:t>
            </w:r>
          </w:p>
          <w:p>
            <w:pPr>
              <w:widowControl/>
              <w:numPr>
                <w:ilvl w:val="0"/>
                <w:numId w:val="3"/>
              </w:numPr>
              <w:snapToGrid w:val="0"/>
              <w:spacing w:line="240" w:lineRule="atLeast"/>
              <w:ind w:left="420" w:leftChars="0" w:hanging="420" w:firstLineChars="0"/>
              <w:jc w:val="left"/>
              <w:rPr>
                <w:rFonts w:ascii="仿宋_GB2312" w:hAnsi="仿宋_GB2312" w:eastAsia="仿宋_GB2312" w:cs="仿宋_GB2312"/>
                <w:kern w:val="0"/>
                <w:sz w:val="24"/>
                <w:szCs w:val="22"/>
                <w:lang w:val="en-US" w:eastAsia="zh-CN" w:bidi="ar-SA"/>
              </w:rPr>
            </w:pPr>
            <w:r>
              <w:rPr>
                <w:rFonts w:hint="eastAsia" w:ascii="仿宋_GB2312" w:hAnsi="仿宋_GB2312" w:eastAsia="仿宋_GB2312" w:cs="仿宋_GB2312"/>
                <w:color w:val="auto"/>
                <w:kern w:val="0"/>
                <w:sz w:val="24"/>
                <w:szCs w:val="24"/>
                <w:lang w:val="en-US" w:eastAsia="zh-CN" w:bidi="ar-SA"/>
              </w:rPr>
              <w:t>直接或间接地对客户的需求做出回应</w:t>
            </w: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left"/>
              <w:rPr>
                <w:rFonts w:hint="eastAsia" w:ascii="LinTimes" w:hAnsi="LinTimes" w:cs="LinTimes"/>
                <w:b/>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pPr>
              <w:widowControl/>
              <w:snapToGrid w:val="0"/>
              <w:spacing w:before="159" w:beforeLines="50" w:after="159" w:afterLines="50" w:line="240" w:lineRule="atLeast"/>
              <w:jc w:val="center"/>
              <w:rPr>
                <w:rFonts w:ascii="宋体" w:hAnsi="宋体" w:eastAsia="宋体" w:cs="宋体"/>
                <w:b/>
                <w:color w:val="auto"/>
                <w:kern w:val="0"/>
                <w:sz w:val="24"/>
                <w:szCs w:val="24"/>
                <w:lang w:val="en-GB" w:eastAsia="zh-CN" w:bidi="ar-SA"/>
              </w:rPr>
            </w:pPr>
            <w:bookmarkStart w:id="33" w:name="_Hlk133918183"/>
            <w:r>
              <w:rPr>
                <w:rFonts w:hint="eastAsia" w:ascii="宋体" w:hAnsi="宋体" w:eastAsia="宋体" w:cs="宋体"/>
                <w:b/>
                <w:color w:val="auto"/>
                <w:kern w:val="0"/>
                <w:sz w:val="24"/>
                <w:szCs w:val="24"/>
                <w:lang w:val="en-GB" w:eastAsia="zh-CN" w:bidi="ar-SA"/>
              </w:rPr>
              <w:t>3</w:t>
            </w:r>
          </w:p>
        </w:tc>
        <w:tc>
          <w:tcPr>
            <w:tcW w:w="535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color w:val="auto"/>
                <w:kern w:val="0"/>
                <w:sz w:val="24"/>
                <w:szCs w:val="24"/>
                <w:lang w:val="en-GB" w:eastAsia="zh-CN" w:bidi="ar-SA"/>
              </w:rPr>
            </w:pPr>
            <w:r>
              <w:rPr>
                <w:rFonts w:hint="eastAsia" w:ascii="宋体" w:hAnsi="宋体" w:eastAsia="宋体" w:cs="宋体"/>
                <w:b/>
                <w:color w:val="auto"/>
                <w:kern w:val="0"/>
                <w:sz w:val="24"/>
                <w:szCs w:val="24"/>
                <w:lang w:val="en-GB" w:eastAsia="zh-CN" w:bidi="ar-SA"/>
              </w:rPr>
              <w:t>参赛选手应掌握的基本知识</w:t>
            </w:r>
          </w:p>
        </w:tc>
        <w:tc>
          <w:tcPr>
            <w:tcW w:w="1697" w:type="dxa"/>
            <w:vMerge w:val="restart"/>
            <w:tcBorders>
              <w:top w:val="single" w:color="auto" w:sz="4" w:space="0"/>
              <w:left w:val="single" w:color="auto" w:sz="4" w:space="0"/>
              <w:bottom w:val="single" w:color="auto" w:sz="4" w:space="0"/>
              <w:right w:val="single" w:color="auto" w:sz="4" w:space="0"/>
            </w:tcBorders>
            <w:vAlign w:val="center"/>
          </w:tcPr>
          <w:p>
            <w:pPr>
              <w:widowControl/>
              <w:snapToGrid w:val="0"/>
              <w:spacing w:before="159" w:beforeLines="50" w:after="159" w:afterLines="50" w:line="240" w:lineRule="atLeast"/>
              <w:jc w:val="center"/>
              <w:rPr>
                <w:rFonts w:ascii="宋体" w:hAnsi="宋体" w:eastAsia="宋体" w:cs="宋体"/>
                <w:bCs/>
                <w:color w:val="auto"/>
                <w:kern w:val="0"/>
                <w:sz w:val="24"/>
                <w:szCs w:val="24"/>
                <w:lang w:val="en-GB" w:eastAsia="en-US" w:bidi="ar-SA"/>
              </w:rPr>
            </w:pPr>
            <w:r>
              <w:rPr>
                <w:rFonts w:ascii="宋体" w:hAnsi="宋体" w:eastAsia="宋体" w:cs="宋体"/>
                <w:bCs/>
                <w:color w:val="auto"/>
                <w:kern w:val="0"/>
                <w:sz w:val="24"/>
                <w:szCs w:val="24"/>
                <w:lang w:val="en-GB" w:eastAsia="en-US" w:bidi="ar-SA"/>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基本知识</w:t>
            </w:r>
          </w:p>
        </w:tc>
        <w:tc>
          <w:tcPr>
            <w:tcW w:w="5353" w:type="dxa"/>
            <w:tcBorders>
              <w:top w:val="single" w:color="auto" w:sz="4" w:space="0"/>
              <w:left w:val="single" w:color="auto" w:sz="4" w:space="0"/>
              <w:bottom w:val="single" w:color="auto" w:sz="4" w:space="0"/>
              <w:right w:val="single" w:color="auto" w:sz="4" w:space="0"/>
            </w:tcBorders>
            <w:vAlign w:val="center"/>
          </w:tcPr>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安全文明生产与环境保护知识</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职业道德基本知识</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车路协同场景搭建方法</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车路协同功能验证方法</w:t>
            </w:r>
          </w:p>
          <w:p>
            <w:pPr>
              <w:widowControl/>
              <w:numPr>
                <w:ilvl w:val="0"/>
                <w:numId w:val="3"/>
              </w:numPr>
              <w:snapToGrid w:val="0"/>
              <w:spacing w:line="240" w:lineRule="atLeast"/>
              <w:ind w:left="420" w:leftChars="0" w:hanging="420" w:firstLineChars="0"/>
              <w:jc w:val="left"/>
              <w:rPr>
                <w:rFonts w:ascii="仿宋_GB2312" w:hAnsi="仿宋_GB2312" w:eastAsia="仿宋_GB2312" w:cs="仿宋_GB2312"/>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智能网联汽车道路运行测试方法</w:t>
            </w: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atLeast"/>
              <w:ind w:firstLine="482"/>
              <w:jc w:val="left"/>
              <w:rPr>
                <w:rFonts w:hint="eastAsia" w:ascii="LinTimes" w:hAnsi="LinTimes" w:cs="LinTimes"/>
                <w:b/>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工作能力</w:t>
            </w:r>
          </w:p>
        </w:tc>
        <w:tc>
          <w:tcPr>
            <w:tcW w:w="5353" w:type="dxa"/>
            <w:tcBorders>
              <w:top w:val="single" w:color="auto" w:sz="4" w:space="0"/>
              <w:left w:val="single" w:color="auto" w:sz="4" w:space="0"/>
              <w:bottom w:val="single" w:color="auto" w:sz="4" w:space="0"/>
              <w:right w:val="single" w:color="auto" w:sz="4" w:space="0"/>
            </w:tcBorders>
            <w:vAlign w:val="center"/>
          </w:tcPr>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使用仿真软件进行车路协同场景搭建、标定及功能测试</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对车路协同网络进行通信配置与调试的能力</w:t>
            </w:r>
          </w:p>
          <w:p>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基于路测场景的智能化和网联化功能测试能力</w:t>
            </w:r>
          </w:p>
          <w:p>
            <w:pPr>
              <w:widowControl/>
              <w:numPr>
                <w:ilvl w:val="0"/>
                <w:numId w:val="3"/>
              </w:numPr>
              <w:snapToGrid w:val="0"/>
              <w:spacing w:line="240" w:lineRule="atLeast"/>
              <w:ind w:left="420" w:leftChars="0" w:hanging="420" w:firstLineChars="0"/>
              <w:jc w:val="left"/>
              <w:rPr>
                <w:rFonts w:ascii="仿宋_GB2312" w:hAnsi="仿宋_GB2312" w:eastAsia="仿宋_GB2312" w:cs="仿宋_GB2312"/>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填写工单</w:t>
            </w: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atLeast"/>
              <w:ind w:firstLine="482"/>
              <w:jc w:val="left"/>
              <w:rPr>
                <w:rFonts w:hint="eastAsia" w:ascii="LinTimes" w:hAnsi="LinTimes" w:cs="LinTimes"/>
                <w:b/>
                <w:sz w:val="24"/>
                <w:szCs w:val="24"/>
                <w:highlight w:val="yellow"/>
                <w:lang w:val="en-GB"/>
              </w:rPr>
            </w:pPr>
          </w:p>
        </w:tc>
      </w:tr>
      <w:bookmark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pPr>
              <w:widowControl/>
              <w:snapToGrid w:val="0"/>
              <w:spacing w:before="159" w:beforeLines="50" w:after="159" w:afterLines="50" w:line="240" w:lineRule="atLeast"/>
              <w:jc w:val="center"/>
              <w:rPr>
                <w:rFonts w:hint="eastAsia" w:ascii="LinTimes" w:hAnsi="LinTimes" w:eastAsia="宋体" w:cs="LinTimes"/>
                <w:b/>
                <w:color w:val="auto"/>
                <w:kern w:val="0"/>
                <w:sz w:val="24"/>
                <w:szCs w:val="24"/>
                <w:lang w:val="en-GB" w:eastAsia="zh-CN" w:bidi="ar-SA"/>
              </w:rPr>
            </w:pPr>
            <w:r>
              <w:rPr>
                <w:rFonts w:ascii="LinTimes" w:hAnsi="LinTimes" w:eastAsia="宋体" w:cs="LinTimes"/>
                <w:b/>
                <w:color w:val="auto"/>
                <w:kern w:val="0"/>
                <w:sz w:val="24"/>
                <w:szCs w:val="24"/>
                <w:lang w:val="en-GB" w:eastAsia="zh-CN" w:bidi="ar-SA"/>
              </w:rPr>
              <w:t>合计</w:t>
            </w:r>
          </w:p>
        </w:tc>
        <w:tc>
          <w:tcPr>
            <w:tcW w:w="5353" w:type="dxa"/>
            <w:tcBorders>
              <w:top w:val="single" w:color="auto" w:sz="4" w:space="0"/>
              <w:left w:val="single" w:color="auto" w:sz="4" w:space="0"/>
              <w:bottom w:val="single" w:color="auto" w:sz="4" w:space="0"/>
              <w:right w:val="single" w:color="auto" w:sz="4" w:space="0"/>
            </w:tcBorders>
            <w:vAlign w:val="center"/>
          </w:tcPr>
          <w:p>
            <w:pPr>
              <w:widowControl/>
              <w:tabs>
                <w:tab w:val="left" w:pos="720"/>
              </w:tabs>
              <w:snapToGrid w:val="0"/>
              <w:spacing w:before="159" w:beforeLines="50" w:after="159" w:afterLines="50" w:line="240" w:lineRule="atLeast"/>
              <w:ind w:left="284"/>
              <w:contextualSpacing/>
              <w:jc w:val="both"/>
              <w:rPr>
                <w:rFonts w:hint="eastAsia" w:ascii="LinTimes" w:hAnsi="LinTimes" w:eastAsia="宋体" w:cs="LinTimes"/>
                <w:b/>
                <w:kern w:val="0"/>
                <w:sz w:val="24"/>
                <w:szCs w:val="24"/>
                <w:lang w:val="en-US" w:eastAsia="zh-CN" w:bidi="ar-SA"/>
              </w:rPr>
            </w:pPr>
          </w:p>
        </w:tc>
        <w:tc>
          <w:tcPr>
            <w:tcW w:w="1697" w:type="dxa"/>
            <w:tcBorders>
              <w:top w:val="single" w:color="auto" w:sz="4" w:space="0"/>
              <w:left w:val="single" w:color="auto" w:sz="4" w:space="0"/>
              <w:bottom w:val="single" w:color="auto" w:sz="4" w:space="0"/>
              <w:right w:val="single" w:color="auto" w:sz="4" w:space="0"/>
            </w:tcBorders>
            <w:vAlign w:val="center"/>
          </w:tcPr>
          <w:p>
            <w:pPr>
              <w:widowControl/>
              <w:snapToGrid w:val="0"/>
              <w:spacing w:before="159" w:beforeLines="50" w:after="159" w:afterLines="50" w:line="240" w:lineRule="atLeast"/>
              <w:jc w:val="center"/>
              <w:rPr>
                <w:rFonts w:ascii="宋体" w:hAnsi="宋体" w:eastAsia="宋体" w:cs="宋体"/>
                <w:bCs/>
                <w:color w:val="auto"/>
                <w:kern w:val="0"/>
                <w:sz w:val="24"/>
                <w:szCs w:val="24"/>
                <w:lang w:val="en-GB" w:eastAsia="zh-CN" w:bidi="ar-SA"/>
              </w:rPr>
            </w:pPr>
            <w:r>
              <w:rPr>
                <w:rFonts w:hint="eastAsia" w:ascii="宋体" w:hAnsi="宋体" w:eastAsia="宋体" w:cs="宋体"/>
                <w:bCs/>
                <w:color w:val="auto"/>
                <w:kern w:val="0"/>
                <w:sz w:val="24"/>
                <w:szCs w:val="24"/>
                <w:lang w:val="en-GB" w:eastAsia="zh-CN" w:bidi="ar-SA"/>
              </w:rPr>
              <w:t>100</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LinTimes" w:hAnsi="LinTimes" w:eastAsia="黑体" w:cs="黑体"/>
          <w:sz w:val="32"/>
          <w:szCs w:val="32"/>
        </w:rPr>
      </w:pPr>
      <w:bookmarkStart w:id="34" w:name="_Toc8264_WPSOffice_Level1"/>
      <w:r>
        <w:rPr>
          <w:rFonts w:hint="eastAsia" w:ascii="LinTimes" w:hAnsi="LinTimes" w:eastAsia="黑体" w:cs="黑体"/>
          <w:sz w:val="32"/>
          <w:szCs w:val="32"/>
        </w:rPr>
        <w:t>二、试题与评判标准</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LinTimes" w:hAnsi="LinTimes" w:eastAsia="楷体" w:cs="楷体"/>
          <w:sz w:val="32"/>
          <w:szCs w:val="32"/>
        </w:rPr>
      </w:pPr>
      <w:bookmarkStart w:id="35" w:name="_Toc29004_WPSOffice_Level2"/>
      <w:r>
        <w:rPr>
          <w:rFonts w:hint="eastAsia" w:ascii="LinTimes" w:hAnsi="LinTimes" w:eastAsia="楷体" w:cs="楷体"/>
          <w:sz w:val="32"/>
          <w:szCs w:val="32"/>
        </w:rPr>
        <w:t>（一）试题（样题）</w:t>
      </w:r>
      <w:bookmarkEnd w:id="35"/>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考核模块</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任务1：智能网联汽车仿真与装调</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选手根据大赛组委会提供的车路协同仿真测试平台和智能网联汽车乘用车，在规定时间内依次完成以下工作：</w:t>
      </w:r>
    </w:p>
    <w:p>
      <w:pPr>
        <w:widowControl w:val="0"/>
        <w:spacing w:line="560" w:lineRule="exact"/>
        <w:ind w:firstLine="640" w:firstLineChars="200"/>
        <w:jc w:val="both"/>
        <w:rPr>
          <w:rFonts w:hint="eastAsia" w:ascii="Calibri" w:hAnsi="Calibri"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（1）</w:t>
      </w:r>
      <w:r>
        <w:rPr>
          <w:rFonts w:hint="eastAsia" w:ascii="Calibri" w:hAnsi="Calibri" w:eastAsia="仿宋_GB2312" w:cs="Times New Roman"/>
          <w:kern w:val="2"/>
          <w:sz w:val="32"/>
          <w:szCs w:val="24"/>
          <w:lang w:val="en-US" w:eastAsia="zh-CN" w:bidi="ar-SA"/>
        </w:rPr>
        <w:t>根据任务要求，完成车路协同场景的搭建，主要包括场景选择、路端设备安装、车辆设置、事件选择；</w:t>
      </w:r>
    </w:p>
    <w:p>
      <w:pPr>
        <w:widowControl w:val="0"/>
        <w:spacing w:line="560" w:lineRule="exact"/>
        <w:ind w:firstLine="640" w:firstLineChars="200"/>
        <w:jc w:val="both"/>
        <w:rPr>
          <w:rFonts w:hint="eastAsia" w:ascii="Calibri" w:hAnsi="Calibri"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（2）</w:t>
      </w:r>
      <w:r>
        <w:rPr>
          <w:rFonts w:hint="eastAsia" w:ascii="Calibri" w:hAnsi="Calibri" w:eastAsia="仿宋_GB2312" w:cs="Times New Roman"/>
          <w:kern w:val="2"/>
          <w:sz w:val="32"/>
          <w:szCs w:val="24"/>
          <w:lang w:val="en-US" w:eastAsia="zh-CN" w:bidi="ar-SA"/>
        </w:rPr>
        <w:t>根据任务要求，完成车路协同场景的标定，主要包括路端设备标定、车辆路径规划、事件触发机制；</w:t>
      </w:r>
    </w:p>
    <w:p>
      <w:pPr>
        <w:widowControl w:val="0"/>
        <w:spacing w:line="560" w:lineRule="exact"/>
        <w:ind w:firstLine="640" w:firstLineChars="200"/>
        <w:jc w:val="both"/>
        <w:rPr>
          <w:rFonts w:hint="eastAsia" w:ascii="Calibri" w:hAnsi="Calibri"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（3）</w:t>
      </w:r>
      <w:r>
        <w:rPr>
          <w:rFonts w:hint="eastAsia" w:ascii="Calibri" w:hAnsi="Calibri" w:eastAsia="仿宋_GB2312" w:cs="Times New Roman"/>
          <w:kern w:val="2"/>
          <w:sz w:val="32"/>
          <w:szCs w:val="24"/>
          <w:lang w:val="en-US" w:eastAsia="zh-CN" w:bidi="ar-SA"/>
        </w:rPr>
        <w:t>根据任务要求，完成车路协同功能验证。</w:t>
      </w:r>
    </w:p>
    <w:p>
      <w:pPr>
        <w:widowControl w:val="0"/>
        <w:spacing w:line="560" w:lineRule="exact"/>
        <w:ind w:firstLine="640" w:firstLineChars="200"/>
        <w:jc w:val="both"/>
        <w:rPr>
          <w:rFonts w:hint="eastAsia" w:ascii="Calibri" w:hAnsi="Calibri"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（4）</w:t>
      </w:r>
      <w:r>
        <w:rPr>
          <w:rFonts w:hint="eastAsia" w:ascii="Calibri" w:hAnsi="Calibri" w:eastAsia="仿宋_GB2312" w:cs="Times New Roman"/>
          <w:kern w:val="2"/>
          <w:sz w:val="32"/>
          <w:szCs w:val="24"/>
          <w:lang w:val="en-US" w:eastAsia="zh-CN" w:bidi="ar-SA"/>
        </w:rPr>
        <w:t>根据任务要求，通过数据读取与解析完成智能化和网联化设备的检测，包括激光雷达、毫米波雷达、组合导航、线控底盘、OBU和RSU等；</w:t>
      </w:r>
    </w:p>
    <w:p>
      <w:pPr>
        <w:widowControl w:val="0"/>
        <w:spacing w:line="560" w:lineRule="exact"/>
        <w:ind w:firstLine="640" w:firstLineChars="200"/>
        <w:jc w:val="both"/>
        <w:rPr>
          <w:rFonts w:hint="eastAsia" w:ascii="Calibri" w:hAnsi="Calibri"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（5）</w:t>
      </w:r>
      <w:r>
        <w:rPr>
          <w:rFonts w:hint="eastAsia" w:ascii="Calibri" w:hAnsi="Calibri" w:eastAsia="仿宋_GB2312" w:cs="Times New Roman"/>
          <w:kern w:val="2"/>
          <w:sz w:val="32"/>
          <w:szCs w:val="24"/>
          <w:lang w:val="en-US" w:eastAsia="zh-CN" w:bidi="ar-SA"/>
        </w:rPr>
        <w:t>根据任务要求，完成智能化和网联化设备的装调标定，主要包括传感器位姿调节、传感器联合标定、360环视等；</w:t>
      </w:r>
    </w:p>
    <w:p>
      <w:pPr>
        <w:widowControl w:val="0"/>
        <w:spacing w:line="560" w:lineRule="exact"/>
        <w:ind w:firstLine="640" w:firstLineChars="200"/>
        <w:jc w:val="both"/>
        <w:rPr>
          <w:rFonts w:hint="eastAsia" w:ascii="Calibri" w:hAnsi="Calibri"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（6）</w:t>
      </w:r>
      <w:r>
        <w:rPr>
          <w:rFonts w:hint="eastAsia" w:ascii="Calibri" w:hAnsi="Calibri" w:eastAsia="仿宋_GB2312" w:cs="Times New Roman"/>
          <w:kern w:val="2"/>
          <w:sz w:val="32"/>
          <w:szCs w:val="24"/>
          <w:lang w:val="en-US" w:eastAsia="zh-CN" w:bidi="ar-SA"/>
        </w:rPr>
        <w:t>根据任务要求，在实际操作过程中检测系统状态，并对异常情况进行处理，使系统恢复正常。</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任务</w:t>
      </w:r>
      <w:r>
        <w:rPr>
          <w:rFonts w:ascii="Calibri" w:hAnsi="Calibri" w:eastAsia="仿宋_GB2312" w:cs="Times New Roman"/>
          <w:kern w:val="2"/>
          <w:sz w:val="32"/>
          <w:szCs w:val="24"/>
          <w:lang w:val="en-US" w:eastAsia="zh-CN" w:bidi="ar-SA"/>
        </w:rPr>
        <w:t>2</w:t>
      </w:r>
      <w:r>
        <w:rPr>
          <w:rFonts w:hint="eastAsia" w:ascii="Calibri" w:hAnsi="Calibri" w:eastAsia="仿宋_GB2312" w:cs="Times New Roman"/>
          <w:kern w:val="2"/>
          <w:sz w:val="32"/>
          <w:szCs w:val="24"/>
          <w:lang w:val="en-US" w:eastAsia="zh-CN" w:bidi="ar-SA"/>
        </w:rPr>
        <w:t>：汽车车路协同技术运行测试</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选手根据大赛组委会提供的智能网联汽车乘用车、车路协同设备、测试道路等，在规定时间依次完成以下工作：</w:t>
      </w:r>
    </w:p>
    <w:p>
      <w:pPr>
        <w:spacing w:line="560" w:lineRule="exact"/>
        <w:ind w:firstLine="640" w:firstLineChars="200"/>
        <w:rPr>
          <w:rFonts w:hint="eastAsia" w:ascii="Calibri" w:hAnsi="Calibri"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（1）</w:t>
      </w:r>
      <w:r>
        <w:rPr>
          <w:rFonts w:hint="eastAsia" w:ascii="Calibri" w:hAnsi="Calibri" w:eastAsia="仿宋_GB2312" w:cs="Times New Roman"/>
          <w:kern w:val="2"/>
          <w:sz w:val="32"/>
          <w:szCs w:val="24"/>
          <w:lang w:val="en-US" w:eastAsia="zh-CN" w:bidi="ar-SA"/>
        </w:rPr>
        <w:t>根据给定场景和任务要求，进行道路测试前的车路协同系统调试、标定和信息采集，主要包括激光雷达与组合导航的联合标定、高精度地图录制与编辑、车道线检测、OBU与RSU的通信配置等；</w:t>
      </w:r>
    </w:p>
    <w:p>
      <w:pPr>
        <w:spacing w:line="560" w:lineRule="exact"/>
        <w:ind w:firstLine="640" w:firstLineChars="200"/>
        <w:rPr>
          <w:rFonts w:hint="eastAsia" w:ascii="Calibri" w:hAnsi="Calibri"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（2）</w:t>
      </w:r>
      <w:r>
        <w:rPr>
          <w:rFonts w:hint="eastAsia" w:ascii="Calibri" w:hAnsi="Calibri" w:eastAsia="仿宋_GB2312" w:cs="Times New Roman"/>
          <w:kern w:val="2"/>
          <w:sz w:val="32"/>
          <w:szCs w:val="24"/>
          <w:lang w:val="en-US" w:eastAsia="zh-CN" w:bidi="ar-SA"/>
        </w:rPr>
        <w:t>根据给定场景和任务要求，完成智能网联汽车道路运行测试，包括自动启停、自动紧急制动、红绿灯识别、交通标志识别、主动避障、定点停车等功能；</w:t>
      </w:r>
    </w:p>
    <w:p>
      <w:pPr>
        <w:spacing w:line="560" w:lineRule="exact"/>
        <w:ind w:firstLine="640" w:firstLineChars="200"/>
        <w:rPr>
          <w:rFonts w:hint="eastAsia" w:ascii="Calibri" w:hAnsi="Calibri"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（3）</w:t>
      </w:r>
      <w:r>
        <w:rPr>
          <w:rFonts w:hint="eastAsia" w:ascii="Calibri" w:hAnsi="Calibri" w:eastAsia="仿宋_GB2312" w:cs="Times New Roman"/>
          <w:kern w:val="2"/>
          <w:sz w:val="32"/>
          <w:szCs w:val="24"/>
          <w:lang w:val="en-US" w:eastAsia="zh-CN" w:bidi="ar-SA"/>
        </w:rPr>
        <w:t>根据给定场景和任务要求，完成车路协同应用道路场景测试验证，包括“车内标牌”、“闯红灯预警”、“绿波车速引导”、“弱势交通参与者预警”、“协作式车辆优先通行等场景。</w:t>
      </w:r>
    </w:p>
    <w:p>
      <w:pPr>
        <w:spacing w:line="560" w:lineRule="exact"/>
        <w:ind w:firstLine="640" w:firstLineChars="200"/>
        <w:rPr>
          <w:rFonts w:hint="eastAsia" w:ascii="Calibri" w:hAnsi="Calibri"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（4）</w:t>
      </w:r>
      <w:r>
        <w:rPr>
          <w:rFonts w:hint="eastAsia" w:ascii="Calibri" w:hAnsi="Calibri" w:eastAsia="仿宋_GB2312" w:cs="Times New Roman"/>
          <w:kern w:val="2"/>
          <w:sz w:val="32"/>
          <w:szCs w:val="24"/>
          <w:lang w:val="en-US" w:eastAsia="zh-CN" w:bidi="ar-SA"/>
        </w:rPr>
        <w:t>根据任务要求，在实际操作过程中检测系统状态，并对异常情况进行处理，使系统恢复正常。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LinTimes" w:hAnsi="LinTimes" w:eastAsia="楷体" w:cs="楷体"/>
          <w:sz w:val="32"/>
          <w:szCs w:val="32"/>
        </w:rPr>
      </w:pPr>
      <w:bookmarkStart w:id="36" w:name="_Toc24345_WPSOffice_Level2"/>
      <w:r>
        <w:rPr>
          <w:rFonts w:hint="eastAsia" w:ascii="LinTimes" w:hAnsi="LinTimes" w:eastAsia="楷体" w:cs="楷体"/>
          <w:sz w:val="32"/>
          <w:szCs w:val="32"/>
        </w:rPr>
        <w:t>（二）比赛时间及试题具体内容</w:t>
      </w:r>
      <w:bookmarkEnd w:id="36"/>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比赛时间安排</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机动车检测工（车路协同技术）项目理论考试时间为3</w:t>
      </w:r>
      <w:r>
        <w:rPr>
          <w:rFonts w:ascii="Calibri" w:hAnsi="Calibri" w:eastAsia="仿宋_GB2312" w:cs="Times New Roman"/>
          <w:kern w:val="2"/>
          <w:sz w:val="32"/>
          <w:szCs w:val="24"/>
          <w:lang w:val="en-US" w:eastAsia="zh-CN" w:bidi="ar-SA"/>
        </w:rPr>
        <w:t>0</w:t>
      </w:r>
      <w:r>
        <w:rPr>
          <w:rFonts w:hint="eastAsia" w:ascii="Calibri" w:hAnsi="Calibri" w:eastAsia="仿宋_GB2312" w:cs="Times New Roman"/>
          <w:kern w:val="2"/>
          <w:sz w:val="32"/>
          <w:szCs w:val="24"/>
          <w:lang w:val="en-US" w:eastAsia="zh-CN" w:bidi="ar-SA"/>
        </w:rPr>
        <w:t>分钟，实操考试总时间为</w:t>
      </w:r>
      <w:r>
        <w:rPr>
          <w:rFonts w:hint="eastAsia" w:eastAsia="仿宋_GB2312" w:cs="Times New Roman"/>
          <w:kern w:val="2"/>
          <w:sz w:val="32"/>
          <w:szCs w:val="24"/>
          <w:lang w:val="en-US" w:eastAsia="zh-CN" w:bidi="ar-SA"/>
        </w:rPr>
        <w:t>9</w:t>
      </w:r>
      <w:r>
        <w:rPr>
          <w:rFonts w:ascii="Calibri" w:hAnsi="Calibri" w:eastAsia="仿宋_GB2312" w:cs="Times New Roman"/>
          <w:kern w:val="2"/>
          <w:sz w:val="32"/>
          <w:szCs w:val="24"/>
          <w:lang w:val="en-US" w:eastAsia="zh-CN" w:bidi="ar-SA"/>
        </w:rPr>
        <w:t>0</w:t>
      </w:r>
      <w:r>
        <w:rPr>
          <w:rFonts w:hint="eastAsia" w:ascii="Calibri" w:hAnsi="Calibri" w:eastAsia="仿宋_GB2312" w:cs="Times New Roman"/>
          <w:kern w:val="2"/>
          <w:sz w:val="32"/>
          <w:szCs w:val="24"/>
          <w:lang w:val="en-US" w:eastAsia="zh-CN" w:bidi="ar-SA"/>
        </w:rPr>
        <w:t>分钟，在两天内完成。各任务比赛时间详见下表2。</w:t>
      </w:r>
    </w:p>
    <w:p>
      <w:pPr>
        <w:widowControl w:val="0"/>
        <w:spacing w:line="560" w:lineRule="exact"/>
        <w:ind w:firstLine="480" w:firstLineChars="200"/>
        <w:jc w:val="center"/>
        <w:rPr>
          <w:rFonts w:ascii="仿宋_GB2312" w:hAnsi="仿宋_GB2312" w:eastAsia="仿宋_GB2312" w:cs="仿宋_GB2312"/>
          <w:kern w:val="0"/>
          <w:sz w:val="24"/>
          <w:szCs w:val="24"/>
          <w:lang w:val="en-GB" w:eastAsia="zh-CN" w:bidi="ar-SA"/>
        </w:rPr>
      </w:pPr>
      <w:r>
        <w:rPr>
          <w:rFonts w:ascii="仿宋_GB2312" w:hAnsi="仿宋_GB2312" w:eastAsia="仿宋_GB2312" w:cs="仿宋_GB2312"/>
          <w:kern w:val="0"/>
          <w:sz w:val="24"/>
          <w:szCs w:val="24"/>
          <w:lang w:val="en-GB" w:eastAsia="zh-CN" w:bidi="ar-SA"/>
        </w:rPr>
        <w:t xml:space="preserve">表2 </w:t>
      </w:r>
      <w:r>
        <w:rPr>
          <w:rFonts w:hint="eastAsia" w:ascii="仿宋_GB2312" w:hAnsi="仿宋_GB2312" w:eastAsia="仿宋_GB2312" w:cs="仿宋_GB2312"/>
          <w:kern w:val="0"/>
          <w:sz w:val="24"/>
          <w:szCs w:val="24"/>
          <w:lang w:val="en-GB" w:eastAsia="zh-CN" w:bidi="ar-SA"/>
        </w:rPr>
        <w:t>任务比赛时间</w:t>
      </w:r>
    </w:p>
    <w:tbl>
      <w:tblPr>
        <w:tblStyle w:val="19"/>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6095"/>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考核类型</w:t>
            </w:r>
          </w:p>
        </w:tc>
        <w:tc>
          <w:tcPr>
            <w:tcW w:w="6095" w:type="dxa"/>
            <w:vAlign w:val="center"/>
          </w:tcPr>
          <w:p>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竞赛任务</w:t>
            </w:r>
          </w:p>
        </w:tc>
        <w:tc>
          <w:tcPr>
            <w:tcW w:w="1560" w:type="dxa"/>
            <w:vAlign w:val="center"/>
          </w:tcPr>
          <w:p>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理论考试</w:t>
            </w:r>
          </w:p>
        </w:tc>
        <w:tc>
          <w:tcPr>
            <w:tcW w:w="6095"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GB" w:eastAsia="zh-CN" w:bidi="ar-SA"/>
              </w:rPr>
              <w:t>纸质试卷</w:t>
            </w:r>
          </w:p>
        </w:tc>
        <w:tc>
          <w:tcPr>
            <w:tcW w:w="1560"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US" w:eastAsia="zh-CN" w:bidi="ar-SA"/>
              </w:rPr>
              <w:t>3</w:t>
            </w:r>
            <w:r>
              <w:rPr>
                <w:rFonts w:ascii="仿宋_GB2312" w:hAnsi="仿宋_GB2312" w:eastAsia="仿宋_GB2312" w:cs="仿宋_GB2312"/>
                <w:kern w:val="0"/>
                <w:sz w:val="24"/>
                <w:szCs w:val="24"/>
                <w:lang w:val="en-GB" w:eastAsia="zh-CN" w:bidi="ar-SA"/>
              </w:rPr>
              <w:t>0</w:t>
            </w:r>
            <w:r>
              <w:rPr>
                <w:rFonts w:hint="eastAsia" w:ascii="仿宋_GB2312" w:hAnsi="仿宋_GB2312" w:eastAsia="仿宋_GB2312" w:cs="仿宋_GB2312"/>
                <w:kern w:val="0"/>
                <w:sz w:val="24"/>
                <w:szCs w:val="24"/>
                <w:lang w:val="en-GB" w:eastAsia="zh-CN" w:bidi="ar-SA"/>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vAlign w:val="center"/>
          </w:tcPr>
          <w:p>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实操考试</w:t>
            </w:r>
          </w:p>
        </w:tc>
        <w:tc>
          <w:tcPr>
            <w:tcW w:w="6095"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GB" w:eastAsia="zh-CN" w:bidi="ar-SA"/>
              </w:rPr>
              <w:t>任务</w:t>
            </w:r>
            <w:r>
              <w:rPr>
                <w:rFonts w:ascii="仿宋_GB2312" w:hAnsi="仿宋_GB2312" w:eastAsia="仿宋_GB2312" w:cs="仿宋_GB2312"/>
                <w:kern w:val="0"/>
                <w:sz w:val="24"/>
                <w:szCs w:val="24"/>
                <w:lang w:val="en-GB" w:eastAsia="zh-CN" w:bidi="ar-SA"/>
              </w:rPr>
              <w:t>1：典型道路车路协同场景</w:t>
            </w:r>
            <w:r>
              <w:rPr>
                <w:rFonts w:hint="eastAsia" w:ascii="仿宋_GB2312" w:hAnsi="仿宋_GB2312" w:eastAsia="仿宋_GB2312" w:cs="仿宋_GB2312"/>
                <w:kern w:val="0"/>
                <w:sz w:val="24"/>
                <w:szCs w:val="24"/>
                <w:lang w:val="en-GB" w:eastAsia="zh-CN" w:bidi="ar-SA"/>
              </w:rPr>
              <w:t>设计与标定</w:t>
            </w:r>
          </w:p>
        </w:tc>
        <w:tc>
          <w:tcPr>
            <w:tcW w:w="1560"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US" w:eastAsia="zh-CN" w:bidi="ar-SA"/>
              </w:rPr>
              <w:t>45</w:t>
            </w:r>
            <w:r>
              <w:rPr>
                <w:rFonts w:hint="eastAsia" w:ascii="仿宋_GB2312" w:hAnsi="仿宋_GB2312" w:eastAsia="仿宋_GB2312" w:cs="仿宋_GB2312"/>
                <w:kern w:val="0"/>
                <w:sz w:val="24"/>
                <w:szCs w:val="24"/>
                <w:lang w:val="en-GB" w:eastAsia="zh-CN" w:bidi="ar-SA"/>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p>
        </w:tc>
        <w:tc>
          <w:tcPr>
            <w:tcW w:w="6095"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GB" w:eastAsia="zh-CN" w:bidi="ar-SA"/>
              </w:rPr>
              <w:t>任务</w:t>
            </w:r>
            <w:r>
              <w:rPr>
                <w:rFonts w:ascii="仿宋_GB2312" w:hAnsi="仿宋_GB2312" w:eastAsia="仿宋_GB2312" w:cs="仿宋_GB2312"/>
                <w:kern w:val="0"/>
                <w:sz w:val="24"/>
                <w:szCs w:val="24"/>
                <w:lang w:val="en-GB" w:eastAsia="zh-CN" w:bidi="ar-SA"/>
              </w:rPr>
              <w:t>2：汽车车路协同技术运行测试</w:t>
            </w:r>
          </w:p>
        </w:tc>
        <w:tc>
          <w:tcPr>
            <w:tcW w:w="1560"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US" w:eastAsia="zh-CN" w:bidi="ar-SA"/>
              </w:rPr>
              <w:t>45</w:t>
            </w:r>
            <w:r>
              <w:rPr>
                <w:rFonts w:hint="eastAsia" w:ascii="仿宋_GB2312" w:hAnsi="仿宋_GB2312" w:eastAsia="仿宋_GB2312" w:cs="仿宋_GB2312"/>
                <w:kern w:val="0"/>
                <w:sz w:val="24"/>
                <w:szCs w:val="24"/>
                <w:lang w:val="en-GB" w:eastAsia="zh-CN" w:bidi="ar-SA"/>
              </w:rPr>
              <w:t>分钟</w:t>
            </w:r>
          </w:p>
        </w:tc>
      </w:tr>
    </w:tbl>
    <w:p>
      <w:pPr>
        <w:keepNext w:val="0"/>
        <w:keepLines w:val="0"/>
        <w:pageBreakBefore w:val="0"/>
        <w:widowControl w:val="0"/>
        <w:kinsoku/>
        <w:wordWrap/>
        <w:overflowPunct/>
        <w:topLinePunct w:val="0"/>
        <w:autoSpaceDE/>
        <w:autoSpaceDN/>
        <w:bidi w:val="0"/>
        <w:adjustRightInd/>
        <w:snapToGrid/>
        <w:spacing w:after="161" w:afterLines="50" w:line="58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2.具体试题内容</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各个比赛项目的考核内容及范围</w:t>
      </w:r>
      <w:bookmarkStart w:id="37" w:name="_Hlk134009199"/>
      <w:r>
        <w:rPr>
          <w:rFonts w:hint="eastAsia" w:ascii="Calibri" w:hAnsi="Calibri" w:eastAsia="仿宋_GB2312" w:cs="Times New Roman"/>
          <w:kern w:val="2"/>
          <w:sz w:val="32"/>
          <w:szCs w:val="24"/>
          <w:lang w:val="en-US" w:eastAsia="zh-CN" w:bidi="ar-SA"/>
        </w:rPr>
        <w:t>详见下表</w:t>
      </w:r>
      <w:bookmarkEnd w:id="37"/>
      <w:r>
        <w:rPr>
          <w:rFonts w:hint="eastAsia" w:ascii="Calibri" w:hAnsi="Calibri" w:eastAsia="仿宋_GB2312" w:cs="Times New Roman"/>
          <w:kern w:val="2"/>
          <w:sz w:val="32"/>
          <w:szCs w:val="24"/>
          <w:lang w:val="en-US" w:eastAsia="zh-CN" w:bidi="ar-SA"/>
        </w:rPr>
        <w:t>3。</w:t>
      </w:r>
    </w:p>
    <w:p>
      <w:pPr>
        <w:widowControl w:val="0"/>
        <w:spacing w:line="560" w:lineRule="exact"/>
        <w:ind w:firstLine="480" w:firstLineChars="200"/>
        <w:jc w:val="center"/>
        <w:rPr>
          <w:rFonts w:hint="eastAsia"/>
          <w:lang w:val="en-US" w:eastAsia="zh-CN"/>
        </w:rPr>
      </w:pPr>
      <w:r>
        <w:rPr>
          <w:rFonts w:ascii="仿宋_GB2312" w:hAnsi="仿宋_GB2312" w:eastAsia="仿宋_GB2312" w:cs="仿宋_GB2312"/>
          <w:kern w:val="0"/>
          <w:sz w:val="24"/>
          <w:szCs w:val="24"/>
          <w:lang w:val="en-GB" w:eastAsia="zh-CN" w:bidi="ar-SA"/>
        </w:rPr>
        <w:t xml:space="preserve">表3 </w:t>
      </w:r>
      <w:r>
        <w:rPr>
          <w:rFonts w:hint="eastAsia" w:ascii="仿宋_GB2312" w:hAnsi="仿宋_GB2312" w:eastAsia="仿宋_GB2312" w:cs="仿宋_GB2312"/>
          <w:kern w:val="0"/>
          <w:sz w:val="24"/>
          <w:szCs w:val="24"/>
          <w:lang w:val="en-GB" w:eastAsia="zh-CN" w:bidi="ar-SA"/>
        </w:rPr>
        <w:t>各任务考核内容及范围</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2"/>
        <w:gridCol w:w="6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8" w:type="pct"/>
            <w:vAlign w:val="center"/>
          </w:tcPr>
          <w:p>
            <w:pPr>
              <w:widowControl/>
              <w:snapToGrid w:val="0"/>
              <w:spacing w:line="240" w:lineRule="atLeast"/>
              <w:jc w:val="center"/>
              <w:rPr>
                <w:rFonts w:ascii="仿宋_GB2312" w:hAnsi="仿宋_GB2312" w:eastAsia="仿宋_GB2312" w:cs="仿宋_GB2312"/>
                <w:b/>
                <w:bCs/>
                <w:color w:val="auto"/>
                <w:kern w:val="0"/>
                <w:sz w:val="24"/>
                <w:szCs w:val="24"/>
                <w:lang w:val="en-GB" w:eastAsia="zh-CN" w:bidi="ar-SA"/>
              </w:rPr>
            </w:pPr>
            <w:r>
              <w:rPr>
                <w:rFonts w:hint="eastAsia" w:ascii="仿宋_GB2312" w:hAnsi="仿宋_GB2312" w:eastAsia="仿宋_GB2312" w:cs="仿宋_GB2312"/>
                <w:b/>
                <w:bCs/>
                <w:color w:val="auto"/>
                <w:kern w:val="0"/>
                <w:sz w:val="24"/>
                <w:szCs w:val="24"/>
                <w:lang w:val="en-GB" w:eastAsia="zh-CN" w:bidi="ar-SA"/>
              </w:rPr>
              <w:t>比赛任务</w:t>
            </w:r>
          </w:p>
        </w:tc>
        <w:tc>
          <w:tcPr>
            <w:tcW w:w="3652" w:type="pct"/>
            <w:vAlign w:val="center"/>
          </w:tcPr>
          <w:p>
            <w:pPr>
              <w:widowControl/>
              <w:snapToGrid w:val="0"/>
              <w:spacing w:line="240" w:lineRule="atLeast"/>
              <w:jc w:val="center"/>
              <w:rPr>
                <w:rFonts w:ascii="仿宋_GB2312" w:hAnsi="仿宋_GB2312" w:eastAsia="仿宋_GB2312" w:cs="仿宋_GB2312"/>
                <w:b/>
                <w:bCs/>
                <w:color w:val="auto"/>
                <w:kern w:val="0"/>
                <w:sz w:val="24"/>
                <w:szCs w:val="24"/>
                <w:lang w:val="en-GB" w:eastAsia="zh-CN" w:bidi="ar-SA"/>
              </w:rPr>
            </w:pPr>
            <w:r>
              <w:rPr>
                <w:rFonts w:hint="eastAsia" w:ascii="仿宋_GB2312" w:hAnsi="仿宋_GB2312" w:eastAsia="仿宋_GB2312" w:cs="仿宋_GB2312"/>
                <w:b/>
                <w:bCs/>
                <w:color w:val="auto"/>
                <w:kern w:val="0"/>
                <w:sz w:val="24"/>
                <w:szCs w:val="24"/>
                <w:lang w:val="en-GB" w:eastAsia="zh-CN" w:bidi="ar-SA"/>
              </w:rPr>
              <w:t>考核内容及范围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8" w:type="pct"/>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任务1</w:t>
            </w:r>
            <w:r>
              <w:rPr>
                <w:rFonts w:ascii="仿宋_GB2312" w:hAnsi="仿宋_GB2312" w:eastAsia="仿宋_GB2312" w:cs="仿宋_GB2312"/>
                <w:color w:val="auto"/>
                <w:kern w:val="0"/>
                <w:sz w:val="24"/>
                <w:szCs w:val="24"/>
                <w:lang w:val="en-GB" w:eastAsia="zh-CN" w:bidi="ar-SA"/>
              </w:rPr>
              <w:t>:</w:t>
            </w:r>
            <w:r>
              <w:rPr>
                <w:rFonts w:hint="eastAsia" w:ascii="仿宋_GB2312" w:hAnsi="仿宋_GB2312" w:eastAsia="仿宋_GB2312" w:cs="仿宋_GB2312"/>
                <w:color w:val="auto"/>
                <w:kern w:val="0"/>
                <w:sz w:val="24"/>
                <w:szCs w:val="24"/>
                <w:lang w:val="en-GB" w:eastAsia="zh-CN" w:bidi="ar-SA"/>
              </w:rPr>
              <w:t>智能网联汽车仿真与装调</w:t>
            </w:r>
          </w:p>
        </w:tc>
        <w:tc>
          <w:tcPr>
            <w:tcW w:w="3652" w:type="pct"/>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1)</w:t>
            </w:r>
            <w:r>
              <w:rPr>
                <w:rFonts w:hint="eastAsia" w:ascii="仿宋_GB2312" w:hAnsi="仿宋_GB2312" w:eastAsia="仿宋_GB2312" w:cs="仿宋_GB2312"/>
                <w:color w:val="auto"/>
                <w:kern w:val="0"/>
                <w:sz w:val="24"/>
                <w:szCs w:val="24"/>
                <w:lang w:val="en-GB" w:eastAsia="zh-CN" w:bidi="ar-SA"/>
              </w:rPr>
              <w:tab/>
            </w:r>
            <w:r>
              <w:rPr>
                <w:rFonts w:hint="eastAsia" w:ascii="仿宋_GB2312" w:hAnsi="仿宋_GB2312" w:eastAsia="仿宋_GB2312" w:cs="仿宋_GB2312"/>
                <w:color w:val="auto"/>
                <w:kern w:val="0"/>
                <w:sz w:val="24"/>
                <w:szCs w:val="24"/>
                <w:lang w:val="en-GB" w:eastAsia="zh-CN" w:bidi="ar-SA"/>
              </w:rPr>
              <w:t>使用智能网联汽车虚拟仿真测试软件完成车路协同场景的搭建，主要包括场景选择、设备安装、车辆设置、事件选择。</w:t>
            </w:r>
          </w:p>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2)</w:t>
            </w:r>
            <w:r>
              <w:rPr>
                <w:rFonts w:hint="eastAsia" w:ascii="仿宋_GB2312" w:hAnsi="仿宋_GB2312" w:eastAsia="仿宋_GB2312" w:cs="仿宋_GB2312"/>
                <w:color w:val="auto"/>
                <w:kern w:val="0"/>
                <w:sz w:val="24"/>
                <w:szCs w:val="24"/>
                <w:lang w:val="en-GB" w:eastAsia="zh-CN" w:bidi="ar-SA"/>
              </w:rPr>
              <w:tab/>
            </w:r>
            <w:r>
              <w:rPr>
                <w:rFonts w:hint="eastAsia" w:ascii="仿宋_GB2312" w:hAnsi="仿宋_GB2312" w:eastAsia="仿宋_GB2312" w:cs="仿宋_GB2312"/>
                <w:color w:val="auto"/>
                <w:kern w:val="0"/>
                <w:sz w:val="24"/>
                <w:szCs w:val="24"/>
                <w:lang w:val="en-GB" w:eastAsia="zh-CN" w:bidi="ar-SA"/>
              </w:rPr>
              <w:t>使用智能网联汽车虚拟仿真测试软件完成车路协同场景的标定，主要包括设备标定、车辆路径规划、事件触发。</w:t>
            </w:r>
          </w:p>
          <w:p>
            <w:pPr>
              <w:widowControl/>
              <w:snapToGrid w:val="0"/>
              <w:spacing w:line="240" w:lineRule="atLeast"/>
              <w:jc w:val="left"/>
              <w:rPr>
                <w:rFonts w:hint="eastAsia"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3)</w:t>
            </w:r>
            <w:r>
              <w:rPr>
                <w:rFonts w:hint="eastAsia" w:ascii="仿宋_GB2312" w:hAnsi="仿宋_GB2312" w:eastAsia="仿宋_GB2312" w:cs="仿宋_GB2312"/>
                <w:color w:val="auto"/>
                <w:kern w:val="0"/>
                <w:sz w:val="24"/>
                <w:szCs w:val="24"/>
                <w:lang w:val="en-GB" w:eastAsia="zh-CN" w:bidi="ar-SA"/>
              </w:rPr>
              <w:tab/>
            </w:r>
            <w:r>
              <w:rPr>
                <w:rFonts w:hint="eastAsia" w:ascii="仿宋_GB2312" w:hAnsi="仿宋_GB2312" w:eastAsia="仿宋_GB2312" w:cs="仿宋_GB2312"/>
                <w:color w:val="auto"/>
                <w:kern w:val="0"/>
                <w:sz w:val="24"/>
                <w:szCs w:val="24"/>
                <w:lang w:val="en-GB" w:eastAsia="zh-CN" w:bidi="ar-SA"/>
              </w:rPr>
              <w:t>根据验证功能和用例，完成车路协同功能验证。</w:t>
            </w:r>
          </w:p>
          <w:p>
            <w:pPr>
              <w:widowControl/>
              <w:snapToGrid w:val="0"/>
              <w:spacing w:line="240" w:lineRule="atLeast"/>
              <w:jc w:val="left"/>
              <w:rPr>
                <w:rFonts w:hint="eastAsia"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US" w:eastAsia="zh-CN" w:bidi="ar-SA"/>
              </w:rPr>
              <w:t>4)</w:t>
            </w:r>
            <w:r>
              <w:rPr>
                <w:rFonts w:hint="eastAsia" w:ascii="仿宋_GB2312" w:hAnsi="仿宋_GB2312" w:eastAsia="仿宋_GB2312" w:cs="仿宋_GB2312"/>
                <w:color w:val="auto"/>
                <w:kern w:val="0"/>
                <w:sz w:val="24"/>
                <w:szCs w:val="24"/>
                <w:lang w:val="en-GB" w:eastAsia="zh-CN" w:bidi="ar-SA"/>
              </w:rPr>
              <w:t>根据任务要求，通过数据读取与解析完成智能化和网联化设备的检测，包括激光雷达、毫米波雷达、组合导航、线控底盘等；</w:t>
            </w:r>
          </w:p>
          <w:p>
            <w:pPr>
              <w:widowControl/>
              <w:snapToGrid w:val="0"/>
              <w:spacing w:line="240" w:lineRule="atLeast"/>
              <w:jc w:val="left"/>
              <w:rPr>
                <w:rFonts w:hint="eastAsia"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US" w:eastAsia="zh-CN" w:bidi="ar-SA"/>
              </w:rPr>
              <w:t>5)</w:t>
            </w:r>
            <w:r>
              <w:rPr>
                <w:rFonts w:hint="eastAsia" w:ascii="仿宋_GB2312" w:hAnsi="仿宋_GB2312" w:eastAsia="仿宋_GB2312" w:cs="仿宋_GB2312"/>
                <w:color w:val="auto"/>
                <w:kern w:val="0"/>
                <w:sz w:val="24"/>
                <w:szCs w:val="24"/>
                <w:lang w:val="en-GB" w:eastAsia="zh-CN" w:bidi="ar-SA"/>
              </w:rPr>
              <w:t>根据任务要求，完成智能化和网联化设备的装调标定，主要包括传感器位姿调节、传感器联合标定、360环视等；</w:t>
            </w:r>
          </w:p>
          <w:p>
            <w:pPr>
              <w:widowControl/>
              <w:snapToGrid w:val="0"/>
              <w:spacing w:line="240" w:lineRule="atLeast"/>
              <w:jc w:val="left"/>
              <w:rPr>
                <w:rFonts w:hint="eastAsia"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US" w:eastAsia="zh-CN" w:bidi="ar-SA"/>
              </w:rPr>
              <w:t>6)</w:t>
            </w:r>
            <w:r>
              <w:rPr>
                <w:rFonts w:hint="eastAsia" w:ascii="仿宋_GB2312" w:hAnsi="仿宋_GB2312" w:eastAsia="仿宋_GB2312" w:cs="仿宋_GB2312"/>
                <w:color w:val="auto"/>
                <w:kern w:val="0"/>
                <w:sz w:val="24"/>
                <w:szCs w:val="24"/>
                <w:lang w:val="en-GB" w:eastAsia="zh-CN" w:bidi="ar-SA"/>
              </w:rPr>
              <w:t>根据任务要求，完成智能与网联功能验证，主要包括目标识别、控制执行、网联通讯等；</w:t>
            </w:r>
          </w:p>
          <w:p>
            <w:pPr>
              <w:widowControl/>
              <w:snapToGrid w:val="0"/>
              <w:spacing w:line="240" w:lineRule="atLeast"/>
              <w:jc w:val="left"/>
              <w:rPr>
                <w:rFonts w:hint="eastAsia"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US" w:eastAsia="zh-CN" w:bidi="ar-SA"/>
              </w:rPr>
              <w:t>7)</w:t>
            </w:r>
            <w:r>
              <w:rPr>
                <w:rFonts w:hint="eastAsia" w:ascii="仿宋_GB2312" w:hAnsi="仿宋_GB2312" w:eastAsia="仿宋_GB2312" w:cs="仿宋_GB2312"/>
                <w:color w:val="auto"/>
                <w:kern w:val="0"/>
                <w:sz w:val="24"/>
                <w:szCs w:val="24"/>
                <w:lang w:val="en-GB" w:eastAsia="zh-CN" w:bidi="ar-SA"/>
              </w:rPr>
              <w:t>根据任务要求，在实际操作过程中检测系统状态，并对异常情况进行处理，使系统恢复正常。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8" w:type="pct"/>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任务</w:t>
            </w:r>
            <w:r>
              <w:rPr>
                <w:rFonts w:ascii="仿宋_GB2312" w:hAnsi="仿宋_GB2312" w:eastAsia="仿宋_GB2312" w:cs="仿宋_GB2312"/>
                <w:color w:val="auto"/>
                <w:kern w:val="0"/>
                <w:sz w:val="24"/>
                <w:szCs w:val="24"/>
                <w:lang w:val="en-GB" w:eastAsia="zh-CN" w:bidi="ar-SA"/>
              </w:rPr>
              <w:t>2:</w:t>
            </w:r>
            <w:r>
              <w:rPr>
                <w:rFonts w:hint="eastAsia" w:ascii="仿宋_GB2312" w:hAnsi="仿宋_GB2312" w:eastAsia="仿宋_GB2312" w:cs="仿宋_GB2312"/>
                <w:color w:val="auto"/>
                <w:kern w:val="0"/>
                <w:sz w:val="24"/>
                <w:szCs w:val="24"/>
                <w:lang w:val="en-GB" w:eastAsia="zh-CN" w:bidi="ar-SA"/>
              </w:rPr>
              <w:t>汽车车路协同技术运行测试</w:t>
            </w:r>
          </w:p>
        </w:tc>
        <w:tc>
          <w:tcPr>
            <w:tcW w:w="3652" w:type="pct"/>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1)</w:t>
            </w:r>
            <w:r>
              <w:rPr>
                <w:rFonts w:hint="eastAsia" w:ascii="仿宋_GB2312" w:hAnsi="仿宋_GB2312" w:eastAsia="仿宋_GB2312" w:cs="仿宋_GB2312"/>
                <w:color w:val="auto"/>
                <w:kern w:val="0"/>
                <w:sz w:val="24"/>
                <w:szCs w:val="24"/>
                <w:lang w:val="en-GB" w:eastAsia="zh-CN" w:bidi="ar-SA"/>
              </w:rPr>
              <w:tab/>
            </w:r>
            <w:r>
              <w:rPr>
                <w:rFonts w:hint="eastAsia" w:ascii="仿宋_GB2312" w:hAnsi="仿宋_GB2312" w:eastAsia="仿宋_GB2312" w:cs="仿宋_GB2312"/>
                <w:color w:val="auto"/>
                <w:kern w:val="0"/>
                <w:sz w:val="24"/>
                <w:szCs w:val="24"/>
                <w:lang w:val="en-GB" w:eastAsia="zh-CN" w:bidi="ar-SA"/>
              </w:rPr>
              <w:t>使用工量具及相关软件进行道路测试前的车路协同系统调试、标定和信息采集。</w:t>
            </w:r>
          </w:p>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2)</w:t>
            </w:r>
            <w:r>
              <w:rPr>
                <w:rFonts w:hint="eastAsia" w:ascii="仿宋_GB2312" w:hAnsi="仿宋_GB2312" w:eastAsia="仿宋_GB2312" w:cs="仿宋_GB2312"/>
                <w:color w:val="auto"/>
                <w:kern w:val="0"/>
                <w:sz w:val="24"/>
                <w:szCs w:val="24"/>
                <w:lang w:val="en-GB" w:eastAsia="zh-CN" w:bidi="ar-SA"/>
              </w:rPr>
              <w:tab/>
            </w:r>
            <w:r>
              <w:rPr>
                <w:rFonts w:hint="eastAsia" w:ascii="仿宋_GB2312" w:hAnsi="仿宋_GB2312" w:eastAsia="仿宋_GB2312" w:cs="仿宋_GB2312"/>
                <w:color w:val="auto"/>
                <w:kern w:val="0"/>
                <w:sz w:val="24"/>
                <w:szCs w:val="24"/>
                <w:lang w:val="en-GB" w:eastAsia="zh-CN" w:bidi="ar-SA"/>
              </w:rPr>
              <w:t>使用工量具及相关软件进行智能网联汽车道路运行测试。</w:t>
            </w:r>
          </w:p>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3)</w:t>
            </w:r>
            <w:r>
              <w:rPr>
                <w:rFonts w:hint="eastAsia" w:ascii="仿宋_GB2312" w:hAnsi="仿宋_GB2312" w:eastAsia="仿宋_GB2312" w:cs="仿宋_GB2312"/>
                <w:color w:val="auto"/>
                <w:kern w:val="0"/>
                <w:sz w:val="24"/>
                <w:szCs w:val="24"/>
                <w:lang w:val="en-GB" w:eastAsia="zh-CN" w:bidi="ar-SA"/>
              </w:rPr>
              <w:tab/>
            </w:r>
            <w:r>
              <w:rPr>
                <w:rFonts w:hint="eastAsia" w:ascii="仿宋_GB2312" w:hAnsi="仿宋_GB2312" w:eastAsia="仿宋_GB2312" w:cs="仿宋_GB2312"/>
                <w:color w:val="auto"/>
                <w:kern w:val="0"/>
                <w:sz w:val="24"/>
                <w:szCs w:val="24"/>
                <w:lang w:val="en-GB" w:eastAsia="zh-CN" w:bidi="ar-SA"/>
              </w:rPr>
              <w:t>使用工量具及相关软件进行车路协同应用道路场景测试验证。</w:t>
            </w:r>
          </w:p>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4)</w:t>
            </w:r>
            <w:r>
              <w:rPr>
                <w:rFonts w:hint="eastAsia" w:ascii="仿宋_GB2312" w:hAnsi="仿宋_GB2312" w:eastAsia="仿宋_GB2312" w:cs="仿宋_GB2312"/>
                <w:color w:val="auto"/>
                <w:kern w:val="0"/>
                <w:sz w:val="24"/>
                <w:szCs w:val="24"/>
                <w:lang w:val="en-GB" w:eastAsia="zh-CN" w:bidi="ar-SA"/>
              </w:rPr>
              <w:tab/>
            </w:r>
            <w:r>
              <w:rPr>
                <w:rFonts w:hint="eastAsia" w:ascii="仿宋_GB2312" w:hAnsi="仿宋_GB2312" w:eastAsia="仿宋_GB2312" w:cs="仿宋_GB2312"/>
                <w:color w:val="auto"/>
                <w:kern w:val="0"/>
                <w:sz w:val="24"/>
                <w:szCs w:val="24"/>
                <w:lang w:val="en-GB" w:eastAsia="zh-CN" w:bidi="ar-SA"/>
              </w:rPr>
              <w:t>在实际操作过程中检测系统状态，并对异常情况进行处理，使系统恢复正常。</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LinTimes" w:hAnsi="LinTimes" w:eastAsia="楷体" w:cs="楷体"/>
          <w:sz w:val="32"/>
          <w:szCs w:val="32"/>
        </w:rPr>
      </w:pPr>
      <w:bookmarkStart w:id="38" w:name="_Toc13271_WPSOffice_Level2"/>
      <w:r>
        <w:rPr>
          <w:rFonts w:hint="eastAsia" w:ascii="LinTimes" w:hAnsi="LinTimes" w:eastAsia="楷体" w:cs="楷体"/>
          <w:sz w:val="32"/>
          <w:szCs w:val="32"/>
        </w:rPr>
        <w:t>（三）评判标准</w:t>
      </w:r>
      <w:bookmarkEnd w:id="38"/>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分数权重</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（1）理论考试</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选手统一进行理论考试，理论考试成绩以百分制评定，按20%占比计入选手竞赛总成绩。</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（2）实操比赛</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各参赛队集中线下比赛，使用赛场提供的竞赛平台或设备，参赛队伍在规定时间内完成实操任务。</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时间及权重分配如下表4：</w:t>
      </w:r>
    </w:p>
    <w:p>
      <w:pPr>
        <w:widowControl w:val="0"/>
        <w:spacing w:line="560" w:lineRule="exact"/>
        <w:ind w:firstLine="480" w:firstLineChars="200"/>
        <w:jc w:val="center"/>
        <w:rPr>
          <w:rFonts w:ascii="仿宋_GB2312" w:hAnsi="仿宋_GB2312" w:eastAsia="仿宋_GB2312" w:cs="仿宋_GB2312"/>
          <w:kern w:val="0"/>
          <w:sz w:val="24"/>
          <w:szCs w:val="24"/>
          <w:lang w:val="en-GB" w:eastAsia="zh-CN" w:bidi="ar-SA"/>
        </w:rPr>
      </w:pPr>
      <w:r>
        <w:rPr>
          <w:rFonts w:ascii="仿宋_GB2312" w:hAnsi="仿宋_GB2312" w:eastAsia="仿宋_GB2312" w:cs="仿宋_GB2312"/>
          <w:kern w:val="0"/>
          <w:sz w:val="24"/>
          <w:szCs w:val="24"/>
          <w:lang w:val="en-GB" w:eastAsia="zh-CN" w:bidi="ar-SA"/>
        </w:rPr>
        <w:t xml:space="preserve">表4 </w:t>
      </w:r>
      <w:r>
        <w:rPr>
          <w:rFonts w:hint="eastAsia" w:ascii="仿宋_GB2312" w:hAnsi="仿宋_GB2312" w:eastAsia="仿宋_GB2312" w:cs="仿宋_GB2312"/>
          <w:kern w:val="0"/>
          <w:sz w:val="24"/>
          <w:szCs w:val="24"/>
          <w:lang w:val="en-GB" w:eastAsia="zh-CN" w:bidi="ar-SA"/>
        </w:rPr>
        <w:t>时间及权重分配表</w:t>
      </w:r>
    </w:p>
    <w:tbl>
      <w:tblPr>
        <w:tblStyle w:val="19"/>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1417"/>
        <w:gridCol w:w="1134"/>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考核类型</w:t>
            </w:r>
          </w:p>
        </w:tc>
        <w:tc>
          <w:tcPr>
            <w:tcW w:w="4111" w:type="dxa"/>
            <w:vAlign w:val="center"/>
          </w:tcPr>
          <w:p>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竞赛任务</w:t>
            </w:r>
          </w:p>
        </w:tc>
        <w:tc>
          <w:tcPr>
            <w:tcW w:w="1417" w:type="dxa"/>
            <w:vAlign w:val="center"/>
          </w:tcPr>
          <w:p>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分值</w:t>
            </w:r>
          </w:p>
        </w:tc>
        <w:tc>
          <w:tcPr>
            <w:tcW w:w="1134" w:type="dxa"/>
            <w:vAlign w:val="center"/>
          </w:tcPr>
          <w:p>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权重</w:t>
            </w:r>
          </w:p>
        </w:tc>
        <w:tc>
          <w:tcPr>
            <w:tcW w:w="993" w:type="dxa"/>
            <w:vAlign w:val="center"/>
          </w:tcPr>
          <w:p>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理论考试</w:t>
            </w:r>
          </w:p>
        </w:tc>
        <w:tc>
          <w:tcPr>
            <w:tcW w:w="4111"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GB" w:eastAsia="zh-CN" w:bidi="ar-SA"/>
              </w:rPr>
              <w:t>纸质试卷</w:t>
            </w:r>
          </w:p>
        </w:tc>
        <w:tc>
          <w:tcPr>
            <w:tcW w:w="1417"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GB" w:eastAsia="zh-CN" w:bidi="ar-SA"/>
              </w:rPr>
              <w:t>1</w:t>
            </w:r>
            <w:r>
              <w:rPr>
                <w:rFonts w:ascii="仿宋_GB2312" w:hAnsi="仿宋_GB2312" w:eastAsia="仿宋_GB2312" w:cs="仿宋_GB2312"/>
                <w:kern w:val="0"/>
                <w:sz w:val="24"/>
                <w:szCs w:val="24"/>
                <w:lang w:val="en-GB" w:eastAsia="zh-CN" w:bidi="ar-SA"/>
              </w:rPr>
              <w:t>00</w:t>
            </w:r>
            <w:r>
              <w:rPr>
                <w:rFonts w:hint="eastAsia" w:ascii="仿宋_GB2312" w:hAnsi="仿宋_GB2312" w:eastAsia="仿宋_GB2312" w:cs="仿宋_GB2312"/>
                <w:kern w:val="0"/>
                <w:sz w:val="24"/>
                <w:szCs w:val="24"/>
                <w:lang w:val="en-GB" w:eastAsia="zh-CN" w:bidi="ar-SA"/>
              </w:rPr>
              <w:t>分</w:t>
            </w:r>
          </w:p>
        </w:tc>
        <w:tc>
          <w:tcPr>
            <w:tcW w:w="1134"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GB" w:eastAsia="zh-CN" w:bidi="ar-SA"/>
              </w:rPr>
              <w:t>2</w:t>
            </w:r>
            <w:r>
              <w:rPr>
                <w:rFonts w:ascii="仿宋_GB2312" w:hAnsi="仿宋_GB2312" w:eastAsia="仿宋_GB2312" w:cs="仿宋_GB2312"/>
                <w:kern w:val="0"/>
                <w:sz w:val="24"/>
                <w:szCs w:val="24"/>
                <w:lang w:val="en-GB" w:eastAsia="zh-CN" w:bidi="ar-SA"/>
              </w:rPr>
              <w:t>0%</w:t>
            </w:r>
          </w:p>
        </w:tc>
        <w:tc>
          <w:tcPr>
            <w:tcW w:w="993" w:type="dxa"/>
            <w:vMerge w:val="restart"/>
            <w:vAlign w:val="center"/>
          </w:tcPr>
          <w:p>
            <w:pPr>
              <w:widowControl w:val="0"/>
              <w:spacing w:line="560" w:lineRule="exact"/>
              <w:ind w:firstLine="0" w:firstLineChars="0"/>
              <w:jc w:val="distribute"/>
              <w:rPr>
                <w:rFonts w:ascii="仿宋_GB2312" w:hAnsi="仿宋_GB2312" w:eastAsia="仿宋_GB2312" w:cs="仿宋_GB2312"/>
                <w:kern w:val="0"/>
                <w:sz w:val="24"/>
                <w:szCs w:val="24"/>
                <w:lang w:val="en-GB" w:eastAsia="zh-CN" w:bidi="ar-SA"/>
              </w:rPr>
            </w:pPr>
            <w:r>
              <w:rPr>
                <w:rFonts w:ascii="仿宋_GB2312" w:hAnsi="仿宋_GB2312" w:eastAsia="仿宋_GB2312" w:cs="仿宋_GB2312"/>
                <w:kern w:val="0"/>
                <w:sz w:val="24"/>
                <w:szCs w:val="24"/>
                <w:lang w:val="en-GB" w:eastAsia="zh-CN" w:bidi="ar-SA"/>
              </w:rPr>
              <w:t>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vAlign w:val="center"/>
          </w:tcPr>
          <w:p>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实操考试</w:t>
            </w:r>
          </w:p>
        </w:tc>
        <w:tc>
          <w:tcPr>
            <w:tcW w:w="4111"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bookmarkStart w:id="39" w:name="_Hlk148259243"/>
            <w:r>
              <w:rPr>
                <w:rFonts w:hint="eastAsia" w:ascii="仿宋_GB2312" w:hAnsi="仿宋_GB2312" w:eastAsia="仿宋_GB2312" w:cs="仿宋_GB2312"/>
                <w:kern w:val="0"/>
                <w:sz w:val="24"/>
                <w:szCs w:val="24"/>
                <w:lang w:val="en-GB" w:eastAsia="zh-CN" w:bidi="ar-SA"/>
              </w:rPr>
              <w:t>任务</w:t>
            </w:r>
            <w:r>
              <w:rPr>
                <w:rFonts w:ascii="仿宋_GB2312" w:hAnsi="仿宋_GB2312" w:eastAsia="仿宋_GB2312" w:cs="仿宋_GB2312"/>
                <w:kern w:val="0"/>
                <w:sz w:val="24"/>
                <w:szCs w:val="24"/>
                <w:lang w:val="en-GB" w:eastAsia="zh-CN" w:bidi="ar-SA"/>
              </w:rPr>
              <w:t>1：典型道路车路协同场景</w:t>
            </w:r>
            <w:r>
              <w:rPr>
                <w:rFonts w:hint="eastAsia" w:ascii="仿宋_GB2312" w:hAnsi="仿宋_GB2312" w:eastAsia="仿宋_GB2312" w:cs="仿宋_GB2312"/>
                <w:kern w:val="0"/>
                <w:sz w:val="24"/>
                <w:szCs w:val="24"/>
                <w:lang w:val="en-GB" w:eastAsia="zh-CN" w:bidi="ar-SA"/>
              </w:rPr>
              <w:t>设计与标定</w:t>
            </w:r>
          </w:p>
        </w:tc>
        <w:tc>
          <w:tcPr>
            <w:tcW w:w="1417"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ascii="仿宋_GB2312" w:hAnsi="仿宋_GB2312" w:eastAsia="仿宋_GB2312" w:cs="仿宋_GB2312"/>
                <w:kern w:val="0"/>
                <w:sz w:val="24"/>
                <w:szCs w:val="24"/>
                <w:lang w:val="en-GB" w:eastAsia="zh-CN" w:bidi="ar-SA"/>
              </w:rPr>
              <w:t>100分</w:t>
            </w:r>
          </w:p>
        </w:tc>
        <w:tc>
          <w:tcPr>
            <w:tcW w:w="1134"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US" w:eastAsia="zh-CN" w:bidi="ar-SA"/>
              </w:rPr>
              <w:t>45</w:t>
            </w:r>
            <w:r>
              <w:rPr>
                <w:rFonts w:ascii="仿宋_GB2312" w:hAnsi="仿宋_GB2312" w:eastAsia="仿宋_GB2312" w:cs="仿宋_GB2312"/>
                <w:kern w:val="0"/>
                <w:sz w:val="24"/>
                <w:szCs w:val="24"/>
                <w:lang w:val="en-GB" w:eastAsia="zh-CN" w:bidi="ar-SA"/>
              </w:rPr>
              <w:t>%</w:t>
            </w:r>
          </w:p>
        </w:tc>
        <w:tc>
          <w:tcPr>
            <w:tcW w:w="993" w:type="dxa"/>
            <w:vMerge w:val="continue"/>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p>
        </w:tc>
        <w:tc>
          <w:tcPr>
            <w:tcW w:w="4111"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GB" w:eastAsia="zh-CN" w:bidi="ar-SA"/>
              </w:rPr>
              <w:t>任务</w:t>
            </w:r>
            <w:r>
              <w:rPr>
                <w:rFonts w:ascii="仿宋_GB2312" w:hAnsi="仿宋_GB2312" w:eastAsia="仿宋_GB2312" w:cs="仿宋_GB2312"/>
                <w:kern w:val="0"/>
                <w:sz w:val="24"/>
                <w:szCs w:val="24"/>
                <w:lang w:val="en-GB" w:eastAsia="zh-CN" w:bidi="ar-SA"/>
              </w:rPr>
              <w:t>2：汽车车路协同技术运行测试</w:t>
            </w:r>
          </w:p>
        </w:tc>
        <w:tc>
          <w:tcPr>
            <w:tcW w:w="1417"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ascii="仿宋_GB2312" w:hAnsi="仿宋_GB2312" w:eastAsia="仿宋_GB2312" w:cs="仿宋_GB2312"/>
                <w:kern w:val="0"/>
                <w:sz w:val="24"/>
                <w:szCs w:val="24"/>
                <w:lang w:val="en-GB" w:eastAsia="zh-CN" w:bidi="ar-SA"/>
              </w:rPr>
              <w:t>100分</w:t>
            </w:r>
          </w:p>
        </w:tc>
        <w:tc>
          <w:tcPr>
            <w:tcW w:w="1134" w:type="dxa"/>
            <w:vAlign w:val="center"/>
          </w:tcPr>
          <w:p>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US" w:eastAsia="zh-CN" w:bidi="ar-SA"/>
              </w:rPr>
              <w:t>35</w:t>
            </w:r>
            <w:r>
              <w:rPr>
                <w:rFonts w:ascii="仿宋_GB2312" w:hAnsi="仿宋_GB2312" w:eastAsia="仿宋_GB2312" w:cs="仿宋_GB2312"/>
                <w:kern w:val="0"/>
                <w:sz w:val="24"/>
                <w:szCs w:val="24"/>
                <w:lang w:val="en-GB" w:eastAsia="zh-CN" w:bidi="ar-SA"/>
              </w:rPr>
              <w:t>%</w:t>
            </w:r>
          </w:p>
        </w:tc>
        <w:tc>
          <w:tcPr>
            <w:tcW w:w="993" w:type="dxa"/>
            <w:vMerge w:val="continue"/>
            <w:vAlign w:val="center"/>
          </w:tcPr>
          <w:p>
            <w:pPr>
              <w:widowControl w:val="0"/>
              <w:spacing w:line="560" w:lineRule="exact"/>
              <w:ind w:firstLine="420" w:firstLineChars="200"/>
              <w:jc w:val="both"/>
              <w:rPr>
                <w:rFonts w:ascii="Calibri" w:hAnsi="Calibri" w:eastAsia="仿宋_GB2312" w:cs="Times New Roman"/>
                <w:kern w:val="2"/>
                <w:sz w:val="21"/>
                <w:szCs w:val="21"/>
                <w:lang w:val="en-US" w:eastAsia="zh-CN" w:bidi="ar-SA"/>
              </w:rPr>
            </w:pPr>
          </w:p>
        </w:tc>
      </w:tr>
      <w:bookmarkEnd w:id="39"/>
    </w:tbl>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.1评判流程</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实际操作竞赛评分由过程评分、结果评分、违规扣分三部分组成。</w:t>
      </w:r>
    </w:p>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.1.1过程评分</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过程评分对应任务工单部分，至少由2名现场评分裁判根据评分细则，共同对选手的操作的规范性、合理性、正确性等进行现场评分；若现场评分裁判对选手的评分有分歧时，由现场裁判长裁决。</w:t>
      </w:r>
    </w:p>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.1.2结果评分</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评分裁判根据参赛选手完成赛题的结果质量，依据评分标准评分，和竞赛平台软件评分相结合，进行综合评分。</w:t>
      </w:r>
    </w:p>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.1.3违规扣分</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选手竞赛中有下列情形者将予以扣分：</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（1）在完成工作任务的过程中，因操作不当导致事故，扣总分10～15%，情况严重者取消竞赛资格。</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（2）因违规操作损坏赛场提供的设备，污染赛场环境等严重不符合职业规范的行为，视情节扣总分5～10%，情况严重者取消竞赛资格。</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（3）扰乱赛场秩序，干扰裁判员工作，视情节扣总分5～10%，情况严重者取消竞赛资格。</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（4）没有按照竞赛规程和任务书设定赛项赛题进行的，比赛现场工具摆放不整齐、作业流程混乱、着装不规范、资料归档不完整，视情节扣总分5～10%。</w:t>
      </w:r>
    </w:p>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.2评判方法</w:t>
      </w:r>
    </w:p>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.2.1 采用过程评分的任务，将根据工具、量具、仪器的选择和使用、操作步骤、操作方法、操作规范性、操作结果等诸方面进行评分。</w:t>
      </w:r>
    </w:p>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.2.2 采用结果评分的任务，由竞赛平台软件和裁判综合评分。</w:t>
      </w:r>
    </w:p>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.2.3 测量方法规范、统一、标准，保证对所有选手一致。</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3.成绩并列</w:t>
      </w:r>
    </w:p>
    <w:p>
      <w:pPr>
        <w:spacing w:line="560" w:lineRule="exact"/>
        <w:ind w:firstLine="640" w:firstLineChars="200"/>
        <w:rPr>
          <w:rFonts w:ascii="LinTimes" w:hAnsi="LinTimes" w:eastAsia="黑体" w:cs="Times New Roman"/>
          <w:sz w:val="32"/>
          <w:szCs w:val="32"/>
        </w:rPr>
      </w:pPr>
      <w:r>
        <w:rPr>
          <w:rFonts w:hint="eastAsia" w:ascii="仿宋_GB2312" w:hAnsi="仿宋_GB2312" w:eastAsia="仿宋_GB2312" w:cs="仿宋_GB2312"/>
          <w:sz w:val="32"/>
          <w:szCs w:val="32"/>
        </w:rPr>
        <w:t>名次的排序根据选手竞赛总分评定结果从高到低依次排定；各组选手如果竞赛总分相同者，按实际操作竞赛得分高者优先，若实际操作竞赛得分相同时，操作技能用时少的优先。</w:t>
      </w:r>
      <w:r>
        <w:rPr>
          <w:rFonts w:hint="eastAsia" w:ascii="LinTimes" w:hAnsi="LinTimes" w:eastAsia="黑体" w:cs="黑体"/>
          <w:sz w:val="32"/>
          <w:szCs w:val="32"/>
          <w:lang w:val="en-US" w:eastAsia="zh-CN"/>
        </w:rPr>
        <w:tab/>
      </w:r>
      <w:r>
        <w:rPr>
          <w:rFonts w:hint="eastAsia" w:ascii="LinTimes" w:hAnsi="LinTimes" w:eastAsia="黑体" w:cs="黑体"/>
          <w:sz w:val="32"/>
          <w:szCs w:val="32"/>
        </w:rPr>
        <w:t>三、竞赛细则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LinTimes" w:hAnsi="LinTimes" w:eastAsia="楷体" w:cs="楷体"/>
          <w:sz w:val="32"/>
          <w:szCs w:val="32"/>
        </w:rPr>
      </w:pPr>
      <w:bookmarkStart w:id="40" w:name="_Toc22809_WPSOffice_Level2"/>
      <w:r>
        <w:rPr>
          <w:rFonts w:hint="eastAsia" w:ascii="LinTimes" w:hAnsi="LinTimes" w:eastAsia="楷体" w:cs="楷体"/>
          <w:sz w:val="32"/>
          <w:szCs w:val="32"/>
        </w:rPr>
        <w:t>（一）比赛日程安排</w:t>
      </w:r>
      <w:bookmarkEnd w:id="40"/>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比赛日程共</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天，具体安排和工作流程见下表5。</w:t>
      </w:r>
    </w:p>
    <w:p>
      <w:pPr>
        <w:widowControl w:val="0"/>
        <w:spacing w:line="560" w:lineRule="exact"/>
        <w:ind w:firstLine="480" w:firstLineChars="200"/>
        <w:jc w:val="center"/>
        <w:rPr>
          <w:rFonts w:ascii="仿宋_GB2312" w:hAnsi="仿宋_GB2312" w:eastAsia="仿宋_GB2312" w:cs="仿宋_GB2312"/>
          <w:kern w:val="0"/>
          <w:sz w:val="24"/>
          <w:szCs w:val="24"/>
          <w:lang w:val="en-GB" w:eastAsia="zh-CN" w:bidi="ar-SA"/>
        </w:rPr>
      </w:pPr>
      <w:r>
        <w:rPr>
          <w:rFonts w:ascii="仿宋_GB2312" w:hAnsi="仿宋_GB2312" w:eastAsia="仿宋_GB2312" w:cs="仿宋_GB2312"/>
          <w:kern w:val="0"/>
          <w:sz w:val="24"/>
          <w:szCs w:val="24"/>
          <w:lang w:val="en-GB" w:eastAsia="zh-CN" w:bidi="ar-SA"/>
        </w:rPr>
        <w:t xml:space="preserve">表5 </w:t>
      </w:r>
      <w:r>
        <w:rPr>
          <w:rFonts w:hint="eastAsia" w:ascii="仿宋_GB2312" w:hAnsi="仿宋_GB2312" w:eastAsia="仿宋_GB2312" w:cs="仿宋_GB2312"/>
          <w:kern w:val="0"/>
          <w:sz w:val="24"/>
          <w:szCs w:val="24"/>
          <w:lang w:val="en-GB" w:eastAsia="zh-CN" w:bidi="ar-SA"/>
        </w:rPr>
        <w:t>工作安排表</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985"/>
        <w:gridCol w:w="3685"/>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gridSpan w:val="2"/>
            <w:vAlign w:val="center"/>
          </w:tcPr>
          <w:p>
            <w:pPr>
              <w:spacing w:line="586" w:lineRule="exact"/>
              <w:jc w:val="center"/>
              <w:rPr>
                <w:rFonts w:ascii="仿宋_GB2312" w:hAnsi="仿宋_GB2312" w:eastAsia="仿宋_GB2312" w:cs="仿宋_GB2312"/>
                <w:sz w:val="32"/>
                <w:szCs w:val="32"/>
              </w:rPr>
            </w:pPr>
            <w:bookmarkStart w:id="41" w:name="_Hlk134258854"/>
            <w:r>
              <w:rPr>
                <w:rFonts w:hint="eastAsia" w:ascii="仿宋_GB2312" w:hAnsi="仿宋_GB2312" w:eastAsia="仿宋_GB2312" w:cs="仿宋_GB2312"/>
                <w:sz w:val="32"/>
                <w:szCs w:val="32"/>
              </w:rPr>
              <w:t>竞赛日程</w:t>
            </w:r>
          </w:p>
        </w:tc>
        <w:tc>
          <w:tcPr>
            <w:tcW w:w="3685" w:type="dxa"/>
            <w:vAlign w:val="center"/>
          </w:tcPr>
          <w:p>
            <w:pPr>
              <w:spacing w:line="586"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内容</w:t>
            </w:r>
          </w:p>
        </w:tc>
        <w:tc>
          <w:tcPr>
            <w:tcW w:w="2035" w:type="dxa"/>
            <w:vAlign w:val="center"/>
          </w:tcPr>
          <w:p>
            <w:pPr>
              <w:spacing w:line="586"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C</w:t>
            </w:r>
            <w:r>
              <w:rPr>
                <w:rFonts w:ascii="仿宋_GB2312" w:hAnsi="仿宋_GB2312" w:eastAsia="仿宋_GB2312" w:cs="仿宋_GB2312"/>
                <w:color w:val="auto"/>
                <w:kern w:val="0"/>
                <w:sz w:val="24"/>
                <w:szCs w:val="24"/>
                <w:lang w:val="en-GB" w:eastAsia="zh-CN" w:bidi="ar-SA"/>
              </w:rPr>
              <w:t>-3</w:t>
            </w:r>
          </w:p>
        </w:tc>
        <w:tc>
          <w:tcPr>
            <w:tcW w:w="19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全天</w:t>
            </w:r>
          </w:p>
        </w:tc>
        <w:tc>
          <w:tcPr>
            <w:tcW w:w="36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裁判长、裁判长助理报到</w:t>
            </w:r>
          </w:p>
        </w:tc>
        <w:tc>
          <w:tcPr>
            <w:tcW w:w="203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C</w:t>
            </w:r>
            <w:r>
              <w:rPr>
                <w:rFonts w:ascii="仿宋_GB2312" w:hAnsi="仿宋_GB2312" w:eastAsia="仿宋_GB2312" w:cs="仿宋_GB2312"/>
                <w:color w:val="auto"/>
                <w:kern w:val="0"/>
                <w:sz w:val="24"/>
                <w:szCs w:val="24"/>
                <w:lang w:val="en-GB" w:eastAsia="zh-CN" w:bidi="ar-SA"/>
              </w:rPr>
              <w:t>-2</w:t>
            </w:r>
          </w:p>
        </w:tc>
        <w:tc>
          <w:tcPr>
            <w:tcW w:w="19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全天</w:t>
            </w:r>
          </w:p>
        </w:tc>
        <w:tc>
          <w:tcPr>
            <w:tcW w:w="36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裁判员、选手报到</w:t>
            </w:r>
          </w:p>
        </w:tc>
        <w:tc>
          <w:tcPr>
            <w:tcW w:w="203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C</w:t>
            </w:r>
            <w:r>
              <w:rPr>
                <w:rFonts w:ascii="仿宋_GB2312" w:hAnsi="仿宋_GB2312" w:eastAsia="仿宋_GB2312" w:cs="仿宋_GB2312"/>
                <w:color w:val="auto"/>
                <w:kern w:val="0"/>
                <w:sz w:val="24"/>
                <w:szCs w:val="24"/>
                <w:lang w:val="en-GB" w:eastAsia="zh-CN" w:bidi="ar-SA"/>
              </w:rPr>
              <w:t>-1</w:t>
            </w:r>
          </w:p>
        </w:tc>
        <w:tc>
          <w:tcPr>
            <w:tcW w:w="19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8</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30</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9</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3</w:t>
            </w:r>
            <w:r>
              <w:rPr>
                <w:rFonts w:hint="eastAsia" w:ascii="仿宋_GB2312" w:hAnsi="仿宋_GB2312" w:eastAsia="仿宋_GB2312" w:cs="仿宋_GB2312"/>
                <w:color w:val="auto"/>
                <w:kern w:val="0"/>
                <w:sz w:val="24"/>
                <w:szCs w:val="24"/>
                <w:lang w:val="en-GB" w:eastAsia="zh-CN" w:bidi="ar-SA"/>
              </w:rPr>
              <w:t>0</w:t>
            </w:r>
          </w:p>
        </w:tc>
        <w:tc>
          <w:tcPr>
            <w:tcW w:w="36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领队会议</w:t>
            </w:r>
          </w:p>
        </w:tc>
        <w:tc>
          <w:tcPr>
            <w:tcW w:w="203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p>
        </w:tc>
        <w:tc>
          <w:tcPr>
            <w:tcW w:w="19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10</w:t>
            </w:r>
            <w:r>
              <w:rPr>
                <w:rFonts w:hint="eastAsia" w:ascii="仿宋_GB2312" w:hAnsi="仿宋_GB2312" w:eastAsia="仿宋_GB2312" w:cs="仿宋_GB2312"/>
                <w:color w:val="auto"/>
                <w:kern w:val="0"/>
                <w:sz w:val="24"/>
                <w:szCs w:val="24"/>
                <w:lang w:val="en-GB" w:eastAsia="zh-CN" w:bidi="ar-SA"/>
              </w:rPr>
              <w:t>:0</w:t>
            </w:r>
            <w:r>
              <w:rPr>
                <w:rFonts w:ascii="仿宋_GB2312" w:hAnsi="仿宋_GB2312" w:eastAsia="仿宋_GB2312" w:cs="仿宋_GB2312"/>
                <w:color w:val="auto"/>
                <w:kern w:val="0"/>
                <w:sz w:val="24"/>
                <w:szCs w:val="24"/>
                <w:lang w:val="en-GB" w:eastAsia="zh-CN" w:bidi="ar-SA"/>
              </w:rPr>
              <w:t>0</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12</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00</w:t>
            </w:r>
          </w:p>
        </w:tc>
        <w:tc>
          <w:tcPr>
            <w:tcW w:w="36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裁判员培训研讨会</w:t>
            </w:r>
          </w:p>
        </w:tc>
        <w:tc>
          <w:tcPr>
            <w:tcW w:w="203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p>
        </w:tc>
        <w:tc>
          <w:tcPr>
            <w:tcW w:w="19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14</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0</w:t>
            </w:r>
            <w:r>
              <w:rPr>
                <w:rFonts w:hint="eastAsia" w:ascii="仿宋_GB2312" w:hAnsi="仿宋_GB2312" w:eastAsia="仿宋_GB2312" w:cs="仿宋_GB2312"/>
                <w:color w:val="auto"/>
                <w:kern w:val="0"/>
                <w:sz w:val="24"/>
                <w:szCs w:val="24"/>
                <w:lang w:val="en-GB" w:eastAsia="zh-CN" w:bidi="ar-SA"/>
              </w:rPr>
              <w:t>0-1</w:t>
            </w:r>
            <w:r>
              <w:rPr>
                <w:rFonts w:ascii="仿宋_GB2312" w:hAnsi="仿宋_GB2312" w:eastAsia="仿宋_GB2312" w:cs="仿宋_GB2312"/>
                <w:color w:val="auto"/>
                <w:kern w:val="0"/>
                <w:sz w:val="24"/>
                <w:szCs w:val="24"/>
                <w:lang w:val="en-GB" w:eastAsia="zh-CN" w:bidi="ar-SA"/>
              </w:rPr>
              <w:t>6</w:t>
            </w:r>
            <w:r>
              <w:rPr>
                <w:rFonts w:hint="eastAsia" w:ascii="仿宋_GB2312" w:hAnsi="仿宋_GB2312" w:eastAsia="仿宋_GB2312" w:cs="仿宋_GB2312"/>
                <w:color w:val="auto"/>
                <w:kern w:val="0"/>
                <w:sz w:val="24"/>
                <w:szCs w:val="24"/>
                <w:lang w:val="en-GB" w:eastAsia="zh-CN" w:bidi="ar-SA"/>
              </w:rPr>
              <w:t>:00</w:t>
            </w:r>
          </w:p>
        </w:tc>
        <w:tc>
          <w:tcPr>
            <w:tcW w:w="36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选手熟悉场地</w:t>
            </w:r>
          </w:p>
        </w:tc>
        <w:tc>
          <w:tcPr>
            <w:tcW w:w="203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p>
        </w:tc>
        <w:tc>
          <w:tcPr>
            <w:tcW w:w="19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16</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0</w:t>
            </w:r>
            <w:r>
              <w:rPr>
                <w:rFonts w:hint="eastAsia" w:ascii="仿宋_GB2312" w:hAnsi="仿宋_GB2312" w:eastAsia="仿宋_GB2312" w:cs="仿宋_GB2312"/>
                <w:color w:val="auto"/>
                <w:kern w:val="0"/>
                <w:sz w:val="24"/>
                <w:szCs w:val="24"/>
                <w:lang w:val="en-GB" w:eastAsia="zh-CN" w:bidi="ar-SA"/>
              </w:rPr>
              <w:t>0-18:00</w:t>
            </w:r>
          </w:p>
        </w:tc>
        <w:tc>
          <w:tcPr>
            <w:tcW w:w="36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裁判长组织场地、设备检查，封场</w:t>
            </w:r>
          </w:p>
        </w:tc>
        <w:tc>
          <w:tcPr>
            <w:tcW w:w="203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C</w:t>
            </w:r>
            <w:r>
              <w:rPr>
                <w:rFonts w:ascii="仿宋_GB2312" w:hAnsi="仿宋_GB2312" w:eastAsia="仿宋_GB2312" w:cs="仿宋_GB2312"/>
                <w:color w:val="auto"/>
                <w:kern w:val="0"/>
                <w:sz w:val="24"/>
                <w:szCs w:val="24"/>
                <w:lang w:val="en-GB" w:eastAsia="zh-CN" w:bidi="ar-SA"/>
              </w:rPr>
              <w:t>1</w:t>
            </w:r>
          </w:p>
        </w:tc>
        <w:tc>
          <w:tcPr>
            <w:tcW w:w="1985" w:type="dxa"/>
            <w:vAlign w:val="center"/>
          </w:tcPr>
          <w:p>
            <w:pPr>
              <w:widowControl/>
              <w:snapToGrid w:val="0"/>
              <w:spacing w:line="240" w:lineRule="atLeast"/>
              <w:jc w:val="both"/>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7</w:t>
            </w:r>
            <w:r>
              <w:rPr>
                <w:rFonts w:hint="eastAsia" w:ascii="仿宋_GB2312" w:hAnsi="仿宋_GB2312" w:eastAsia="仿宋_GB2312" w:cs="仿宋_GB2312"/>
                <w:color w:val="auto"/>
                <w:kern w:val="0"/>
                <w:sz w:val="24"/>
                <w:szCs w:val="24"/>
                <w:lang w:val="en-GB" w:eastAsia="zh-CN" w:bidi="ar-SA"/>
              </w:rPr>
              <w:t>:0</w:t>
            </w:r>
            <w:r>
              <w:rPr>
                <w:rFonts w:ascii="仿宋_GB2312" w:hAnsi="仿宋_GB2312" w:eastAsia="仿宋_GB2312" w:cs="仿宋_GB2312"/>
                <w:color w:val="auto"/>
                <w:kern w:val="0"/>
                <w:sz w:val="24"/>
                <w:szCs w:val="24"/>
                <w:lang w:val="en-GB" w:eastAsia="zh-CN" w:bidi="ar-SA"/>
              </w:rPr>
              <w:t>0</w:t>
            </w:r>
          </w:p>
        </w:tc>
        <w:tc>
          <w:tcPr>
            <w:tcW w:w="36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裁判员、选手报到</w:t>
            </w:r>
          </w:p>
        </w:tc>
        <w:tc>
          <w:tcPr>
            <w:tcW w:w="203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p>
        </w:tc>
        <w:tc>
          <w:tcPr>
            <w:tcW w:w="19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7</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00</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7</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30</w:t>
            </w:r>
          </w:p>
        </w:tc>
        <w:tc>
          <w:tcPr>
            <w:tcW w:w="36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裁判员培训、选手抽取工位号</w:t>
            </w:r>
          </w:p>
        </w:tc>
        <w:tc>
          <w:tcPr>
            <w:tcW w:w="203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p>
        </w:tc>
        <w:tc>
          <w:tcPr>
            <w:tcW w:w="19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7</w:t>
            </w:r>
            <w:r>
              <w:rPr>
                <w:rFonts w:ascii="仿宋_GB2312" w:hAnsi="仿宋_GB2312" w:eastAsia="仿宋_GB2312" w:cs="仿宋_GB2312"/>
                <w:color w:val="auto"/>
                <w:kern w:val="0"/>
                <w:sz w:val="24"/>
                <w:szCs w:val="24"/>
                <w:lang w:val="en-GB" w:eastAsia="zh-CN" w:bidi="ar-SA"/>
              </w:rPr>
              <w:t>:40-8:</w:t>
            </w:r>
            <w:r>
              <w:rPr>
                <w:rFonts w:hint="eastAsia" w:ascii="仿宋_GB2312" w:hAnsi="仿宋_GB2312" w:eastAsia="仿宋_GB2312" w:cs="仿宋_GB2312"/>
                <w:color w:val="auto"/>
                <w:kern w:val="0"/>
                <w:sz w:val="24"/>
                <w:szCs w:val="24"/>
                <w:lang w:val="en-US" w:eastAsia="zh-CN" w:bidi="ar-SA"/>
              </w:rPr>
              <w:t>1</w:t>
            </w:r>
            <w:r>
              <w:rPr>
                <w:rFonts w:ascii="仿宋_GB2312" w:hAnsi="仿宋_GB2312" w:eastAsia="仿宋_GB2312" w:cs="仿宋_GB2312"/>
                <w:color w:val="auto"/>
                <w:kern w:val="0"/>
                <w:sz w:val="24"/>
                <w:szCs w:val="24"/>
                <w:lang w:val="en-GB" w:eastAsia="zh-CN" w:bidi="ar-SA"/>
              </w:rPr>
              <w:t>0</w:t>
            </w:r>
          </w:p>
        </w:tc>
        <w:tc>
          <w:tcPr>
            <w:tcW w:w="36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理论考试</w:t>
            </w:r>
          </w:p>
        </w:tc>
        <w:tc>
          <w:tcPr>
            <w:tcW w:w="203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p>
        </w:tc>
        <w:tc>
          <w:tcPr>
            <w:tcW w:w="19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US" w:eastAsia="zh-CN" w:bidi="ar-SA"/>
              </w:rPr>
              <w:t>8</w:t>
            </w:r>
            <w:r>
              <w:rPr>
                <w:rFonts w:ascii="仿宋_GB2312" w:hAnsi="仿宋_GB2312" w:eastAsia="仿宋_GB2312" w:cs="仿宋_GB2312"/>
                <w:color w:val="auto"/>
                <w:kern w:val="0"/>
                <w:sz w:val="24"/>
                <w:szCs w:val="24"/>
                <w:lang w:val="en-GB" w:eastAsia="zh-CN" w:bidi="ar-SA"/>
              </w:rPr>
              <w:t>:</w:t>
            </w:r>
            <w:r>
              <w:rPr>
                <w:rFonts w:hint="eastAsia" w:ascii="仿宋_GB2312" w:hAnsi="仿宋_GB2312" w:eastAsia="仿宋_GB2312" w:cs="仿宋_GB2312"/>
                <w:color w:val="auto"/>
                <w:kern w:val="0"/>
                <w:sz w:val="24"/>
                <w:szCs w:val="24"/>
                <w:lang w:val="en-US" w:eastAsia="zh-CN" w:bidi="ar-SA"/>
              </w:rPr>
              <w:t>3</w:t>
            </w:r>
            <w:r>
              <w:rPr>
                <w:rFonts w:ascii="仿宋_GB2312" w:hAnsi="仿宋_GB2312" w:eastAsia="仿宋_GB2312" w:cs="仿宋_GB2312"/>
                <w:color w:val="auto"/>
                <w:kern w:val="0"/>
                <w:sz w:val="24"/>
                <w:szCs w:val="24"/>
                <w:lang w:val="en-GB" w:eastAsia="zh-CN" w:bidi="ar-SA"/>
              </w:rPr>
              <w:t>0</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19</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00</w:t>
            </w:r>
          </w:p>
        </w:tc>
        <w:tc>
          <w:tcPr>
            <w:tcW w:w="36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任务1竞赛</w:t>
            </w:r>
          </w:p>
        </w:tc>
        <w:tc>
          <w:tcPr>
            <w:tcW w:w="203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C</w:t>
            </w:r>
            <w:r>
              <w:rPr>
                <w:rFonts w:ascii="仿宋_GB2312" w:hAnsi="仿宋_GB2312" w:eastAsia="仿宋_GB2312" w:cs="仿宋_GB2312"/>
                <w:color w:val="auto"/>
                <w:kern w:val="0"/>
                <w:sz w:val="24"/>
                <w:szCs w:val="24"/>
                <w:lang w:val="en-GB" w:eastAsia="zh-CN" w:bidi="ar-SA"/>
              </w:rPr>
              <w:t>2</w:t>
            </w:r>
          </w:p>
        </w:tc>
        <w:tc>
          <w:tcPr>
            <w:tcW w:w="19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7</w:t>
            </w:r>
            <w:r>
              <w:rPr>
                <w:rFonts w:hint="eastAsia" w:ascii="仿宋_GB2312" w:hAnsi="仿宋_GB2312" w:eastAsia="仿宋_GB2312" w:cs="仿宋_GB2312"/>
                <w:color w:val="auto"/>
                <w:kern w:val="0"/>
                <w:sz w:val="24"/>
                <w:szCs w:val="24"/>
                <w:lang w:val="en-GB" w:eastAsia="zh-CN" w:bidi="ar-SA"/>
              </w:rPr>
              <w:t>:0</w:t>
            </w:r>
            <w:r>
              <w:rPr>
                <w:rFonts w:ascii="仿宋_GB2312" w:hAnsi="仿宋_GB2312" w:eastAsia="仿宋_GB2312" w:cs="仿宋_GB2312"/>
                <w:color w:val="auto"/>
                <w:kern w:val="0"/>
                <w:sz w:val="24"/>
                <w:szCs w:val="24"/>
                <w:lang w:val="en-GB" w:eastAsia="zh-CN" w:bidi="ar-SA"/>
              </w:rPr>
              <w:t>0</w:t>
            </w:r>
          </w:p>
        </w:tc>
        <w:tc>
          <w:tcPr>
            <w:tcW w:w="36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裁判员、选手报到</w:t>
            </w:r>
          </w:p>
        </w:tc>
        <w:tc>
          <w:tcPr>
            <w:tcW w:w="203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p>
        </w:tc>
        <w:tc>
          <w:tcPr>
            <w:tcW w:w="19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7</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00</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7</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30</w:t>
            </w:r>
          </w:p>
        </w:tc>
        <w:tc>
          <w:tcPr>
            <w:tcW w:w="36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裁判员培训、选手抽取工位号</w:t>
            </w:r>
          </w:p>
        </w:tc>
        <w:tc>
          <w:tcPr>
            <w:tcW w:w="203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p>
        </w:tc>
        <w:tc>
          <w:tcPr>
            <w:tcW w:w="19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8:00</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18</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00</w:t>
            </w:r>
          </w:p>
        </w:tc>
        <w:tc>
          <w:tcPr>
            <w:tcW w:w="368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任务2竞赛</w:t>
            </w:r>
          </w:p>
        </w:tc>
        <w:tc>
          <w:tcPr>
            <w:tcW w:w="2035" w:type="dxa"/>
            <w:vAlign w:val="center"/>
          </w:tcPr>
          <w:p>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bookmarkEnd w:id="41"/>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LinTimes" w:hAnsi="LinTimes" w:eastAsia="楷体" w:cs="楷体"/>
          <w:sz w:val="32"/>
          <w:szCs w:val="32"/>
        </w:rPr>
      </w:pPr>
      <w:bookmarkStart w:id="42" w:name="_Toc17682_WPSOffice_Level2"/>
      <w:r>
        <w:rPr>
          <w:rFonts w:hint="eastAsia" w:ascii="LinTimes" w:hAnsi="LinTimes" w:eastAsia="楷体" w:cs="楷体"/>
          <w:sz w:val="32"/>
          <w:szCs w:val="32"/>
        </w:rPr>
        <w:t>（二）工作要求</w:t>
      </w:r>
      <w:bookmarkEnd w:id="42"/>
    </w:p>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选手工作内容</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（1）赛前熟悉比赛各项技术规则，进行有针对性的训练准备，积极锻炼身体，调整好心态。</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（2）提前报到，熟悉适应赛区气候环境、住宿、饮食和交通等。</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（3）参赛选手在比赛期间实行封闭管理，接受工作人员的安全检查和行动指引。</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（4）比赛前一天，参赛选手到赛场熟悉场地环境和仪器设备。</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（5）比赛期间，全身心投入各模块比赛，展现最好的竞技水平和职业风范。</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（6）参加赛后的总结大会。</w:t>
      </w:r>
    </w:p>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裁判工作内容</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（1）参加赛前裁判培训，掌握执裁任务各项技术要求，做到标准统一、公平公正。</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（2）比赛前一天，到赛场熟悉场地环境和仪器设备，解答选手对设备使用的疑问。</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（3）比赛期间，在赛场执裁评分，恢复车辆、设备和现场，设置故障。</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（4）比赛期间，监督和警示选手的违规操作，确保参赛的人身及设备安全。</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（5）参加赛后的技术总结会，提出有益于竞赛改进的意见和建议。</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（6）参加赛后的总结大会。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LinTimes" w:hAnsi="LinTimes" w:eastAsia="楷体" w:cs="楷体"/>
          <w:sz w:val="32"/>
          <w:szCs w:val="32"/>
        </w:rPr>
      </w:pPr>
      <w:bookmarkStart w:id="43" w:name="_Toc23393_WPSOffice_Level2"/>
      <w:r>
        <w:rPr>
          <w:rFonts w:hint="eastAsia" w:ascii="LinTimes" w:hAnsi="LinTimes" w:eastAsia="楷体" w:cs="楷体"/>
          <w:sz w:val="32"/>
          <w:szCs w:val="32"/>
        </w:rPr>
        <w:t>（三）纪律要求</w:t>
      </w:r>
      <w:bookmarkEnd w:id="43"/>
    </w:p>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选手赛场纪律</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（1）参赛选手应按照技术文件和考核项目试题要求，在规定的时间内独立完成。</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（2）参赛选手务必按时到达指定竞赛场地选手休息室集合，并接受监督人员和裁判员的检查。</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（3）参赛选手进入赛场选手休息室时，除按大赛技术文件规定携带比赛用品外和相关技术资料外，严禁携带通讯工具进入竞赛场地。带入休息室内的个人用品，不能带入赛场工位。</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（4）选手进入比赛场地休息室全程接受监护人与裁判的监督管理；参赛选手在竞赛过程中不得擅自离开竞赛场地或休息室，如遇有特殊情况需经裁判员和监护人员同意后，由监护人员陪伴离开竞赛场地。</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竞赛过程中，选手须严格遵守安全操作规程，并接受裁判员的监督和警示，以确保参赛的人身及设备安全。选手因个人误操作造成人身安全事故和设备故障时，裁判长有权中止该队竞赛；如非选手个人因素出现设备故障而无法竞赛，由裁判长视具体情况做出裁决（调换到备份工位或调整至最后一场次参加竞赛）；如裁判长确定设备故障可由技术支持人员排除故障后继续竞赛，将给参赛队补足所耽误的竞赛时间。</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（6）裁判长发布竞赛结束指令后，参赛选手应立即停止操作，不得以任何理由拖延竞赛时间，经裁判员检查许可后，参赛选手方可离开竞赛场地，车辆和设备由裁判员恢复。</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（7）赛场统一提供饮水，选手休息、饮食等时间都算在竞赛时间内。</w:t>
      </w:r>
    </w:p>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裁判纪律要求</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裁判员在比赛前需参加赛前培训，培训合格的裁判应签署《第三届全国新能源关键技术技能大赛竞赛行为规范承诺书》。凡未参加赛前培训、未签署《第三届全国新能源关键技术技能大赛竞赛行为规范承诺书》的，不得从事执裁工作。</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（2）裁判员必须服从裁判长和模块裁判组长的领导，依据评分标准和评分细则，公平、公正、真实、准确地完成竞赛评分工作。</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bookmarkStart w:id="44" w:name="_Hlk134275384"/>
      <w:r>
        <w:rPr>
          <w:rFonts w:hint="eastAsia" w:ascii="仿宋_GB2312" w:hAnsi="仿宋_GB2312" w:eastAsia="仿宋_GB2312" w:cs="仿宋_GB2312"/>
          <w:sz w:val="32"/>
          <w:szCs w:val="32"/>
        </w:rPr>
        <w:t>裁判员早上开始工作后当天封闭管理。</w:t>
      </w:r>
      <w:bookmarkEnd w:id="44"/>
      <w:r>
        <w:rPr>
          <w:rFonts w:hint="eastAsia" w:ascii="仿宋_GB2312" w:hAnsi="仿宋_GB2312" w:eastAsia="仿宋_GB2312" w:cs="仿宋_GB2312"/>
          <w:sz w:val="32"/>
          <w:szCs w:val="32"/>
        </w:rPr>
        <w:t>在正式裁判工作期间，进入场地或离开场地，不许携带任何纸质与电子记录的工具；在比赛期间与休息时间，包括午间吃饭休息时间，不能在当天比赛开始后未结束前与任何非本模块裁判人员和非裁判选手（口头与书面）交流；如需离开裁判工作场地，必须向模块组负责人请示，在得到批准并有人伴随的情况下才能离开。</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（4）裁判员必须佩带裁判员胸牌，仪表整洁，举止文明、礼貌，接受督察人员的监督。</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（5）遵守职业道德，文明裁判。保守大赛试题秘密，严肃赛场纪律。</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（6）严格遵守比赛时间规定，不得擅自提前或延长选手比赛时间。</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（7）严格执行比赛规则，除应向参赛选手宣读竞赛须知外，不得向参赛选手暗示或解答与竞赛有关的内容。</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（8）竞赛过程中出现问题或异议，服从裁判长裁决，避免参赛选手和相关人员发生争执。</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（9）正式公布成绩和名次前，裁判员不得私自与参赛选手或选手派出单位联系，不得透露有关情况。</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（10）坚守岗位，不迟到、早退，无特殊情况不得在竞赛期间请假。</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（11）裁判员要提醒选手注意操作安全，对选手的违规操作或可能引发人身伤害、设备损坏等事故的操作应立即制止并向现场负责人报告。</w:t>
      </w:r>
    </w:p>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违规处理</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（1）竞赛过程中因违反安全操作规程造成设备或人身安全事故者，视情追究选手和执裁裁判责任。</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（2）裁判员有违反比赛纪律，由裁判长确定立即停职工作，并报告组委会（执委会）。</w:t>
      </w:r>
    </w:p>
    <w:p>
      <w:pPr>
        <w:spacing w:line="586" w:lineRule="exact"/>
        <w:ind w:firstLine="640" w:firstLineChars="200"/>
        <w:rPr>
          <w:rFonts w:hint="eastAsia" w:ascii="LinTimes" w:hAnsi="LinTimes" w:eastAsia="黑体" w:cs="黑体"/>
          <w:sz w:val="32"/>
          <w:szCs w:val="32"/>
        </w:rPr>
      </w:pPr>
      <w:r>
        <w:rPr>
          <w:rFonts w:hint="eastAsia" w:ascii="仿宋_GB2312" w:hAnsi="仿宋_GB2312" w:eastAsia="仿宋_GB2312" w:cs="仿宋_GB2312"/>
          <w:sz w:val="32"/>
          <w:szCs w:val="32"/>
        </w:rPr>
        <w:t>（3）裁判员执裁过程中如恶意打分，造成选手比赛分数与真实表现有偏离的（包括正偏离和负偏离），一经查实，按违反比赛纪律处理。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LinTimes" w:hAnsi="LinTimes" w:eastAsia="黑体" w:cs="黑体"/>
          <w:sz w:val="32"/>
          <w:szCs w:val="32"/>
        </w:rPr>
      </w:pPr>
      <w:bookmarkStart w:id="45" w:name="_Toc373_WPSOffice_Level1"/>
      <w:r>
        <w:rPr>
          <w:rFonts w:hint="eastAsia" w:ascii="LinTimes" w:hAnsi="LinTimes" w:eastAsia="黑体" w:cs="黑体"/>
          <w:sz w:val="32"/>
          <w:szCs w:val="32"/>
        </w:rPr>
        <w:t>四、竞赛场地、设施设备等安排</w:t>
      </w:r>
      <w:bookmarkEnd w:id="45"/>
    </w:p>
    <w:p>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outlineLvl w:val="1"/>
      </w:pPr>
      <w:bookmarkStart w:id="46" w:name="_Toc11555_WPSOffice_Level2"/>
      <w:r>
        <w:rPr>
          <w:rFonts w:hint="eastAsia" w:ascii="楷体_GB2312" w:hAnsi="楷体_GB2312" w:eastAsia="楷体_GB2312" w:cs="楷体_GB2312"/>
          <w:sz w:val="32"/>
          <w:szCs w:val="32"/>
        </w:rPr>
        <w:t>（一）赛场规格要求</w:t>
      </w:r>
      <w:bookmarkEnd w:id="4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场地面积和布置要求</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智能汽车实操平台选手操作面积不少于</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rPr>
        <w:t>平方米。赛场必须备有通风设备，保证赛场内空气流通和清洁。</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实际操作工位图（如图1），比赛时会根据现场条件另作调整，以实际比赛工位为准。</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ascii="仿宋" w:hAnsi="仿宋" w:eastAsia="仿宋" w:cs="仿宋"/>
          <w:spacing w:val="-1"/>
          <w:sz w:val="29"/>
          <w:szCs w:val="29"/>
        </w:rPr>
        <w:pict>
          <v:shape id="_x0000_i1025" o:spt="75" alt="图示&#10;&#10;描述已自动生成" type="#_x0000_t75" style="height:273.75pt;width:342.75pt;" filled="f" o:preferrelative="t" stroked="t" coordsize="21600,21600">
            <v:path/>
            <v:fill on="f" focussize="0,0"/>
            <v:stroke weight="2.25pt" color="#000000" joinstyle="round"/>
            <v:imagedata r:id="rId7" o:title=""/>
            <o:lock v:ext="edit" aspectratio="t"/>
            <w10:wrap type="none"/>
            <w10:anchorlock/>
          </v:shape>
        </w:pict>
      </w:r>
    </w:p>
    <w:p>
      <w:pPr>
        <w:spacing w:line="586" w:lineRule="exact"/>
        <w:ind w:firstLine="480" w:firstLineChars="20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图1 车路协同技术赛项工位总布局示意图</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自动驾驶测试道路为搭建的真实环境测试道路，直道100m，参赛车辆需根据竞赛任务书设定的赛项赛题，完成道路测试。道路交通标志符合交通法规要求，并按测试场景进行特定路段的设计和布置，车道宽约3</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m。</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具体要求如下：</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1)尽量保证学习道路的车道线为实线。</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2)单条车道线的线宽应在10cm-30cm之间。</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3)左/右两条车道线的总长度不小于40m。</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4）两条车道线间距应不小于3</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米。</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ascii="仿宋_GB2312" w:hAnsi="仿宋_GB2312" w:eastAsia="仿宋_GB2312" w:cs="仿宋_GB2312"/>
          <w:kern w:val="2"/>
          <w:sz w:val="32"/>
          <w:szCs w:val="32"/>
          <w:lang w:val="en-US" w:eastAsia="zh-CN" w:bidi="ar-SA"/>
        </w:rPr>
        <w:t>2.</w:t>
      </w:r>
      <w:r>
        <w:rPr>
          <w:rFonts w:hint="eastAsia" w:ascii="Calibri" w:hAnsi="Calibri" w:eastAsia="仿宋_GB2312" w:cs="Times New Roman"/>
          <w:kern w:val="2"/>
          <w:sz w:val="32"/>
          <w:szCs w:val="24"/>
          <w:lang w:val="en-US" w:eastAsia="zh-CN" w:bidi="ar-SA"/>
        </w:rPr>
        <w:t>场地设施要求</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（1）比赛场地配有标准的整车作业工位、典型道路车路协同场景设计与标定工位、选手休息室、裁判工作室、男、女厕所等。并有醒目的工位标识，指示牌等。</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（2）</w:t>
      </w:r>
      <w:r>
        <w:rPr>
          <w:rFonts w:hint="eastAsia" w:ascii="Calibri" w:hAnsi="Calibri" w:eastAsia="仿宋_GB2312" w:cs="Times New Roman"/>
          <w:kern w:val="2"/>
          <w:sz w:val="32"/>
          <w:szCs w:val="24"/>
          <w:lang w:val="en-US" w:eastAsia="zh-CN" w:bidi="ar-SA"/>
        </w:rPr>
        <w:t>比赛场地安装录像监控设备。</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（3）</w:t>
      </w:r>
      <w:r>
        <w:rPr>
          <w:rFonts w:hint="eastAsia" w:ascii="Calibri" w:hAnsi="Calibri" w:eastAsia="仿宋_GB2312" w:cs="Times New Roman"/>
          <w:kern w:val="2"/>
          <w:sz w:val="32"/>
          <w:szCs w:val="24"/>
          <w:lang w:val="en-US" w:eastAsia="zh-CN" w:bidi="ar-SA"/>
        </w:rPr>
        <w:t>选手休息室配备桌椅、饮水机等。</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（4）</w:t>
      </w:r>
      <w:r>
        <w:rPr>
          <w:rFonts w:hint="eastAsia" w:ascii="Calibri" w:hAnsi="Calibri" w:eastAsia="仿宋_GB2312" w:cs="Times New Roman"/>
          <w:kern w:val="2"/>
          <w:sz w:val="32"/>
          <w:szCs w:val="24"/>
          <w:lang w:val="en-US" w:eastAsia="zh-CN" w:bidi="ar-SA"/>
        </w:rPr>
        <w:t>裁判工作室配备桌椅、电脑、投影仪、打印机、文件柜等办公设备。</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ascii="仿宋_GB2312" w:hAnsi="仿宋_GB2312" w:eastAsia="仿宋_GB2312" w:cs="仿宋_GB2312"/>
          <w:kern w:val="2"/>
          <w:sz w:val="32"/>
          <w:szCs w:val="32"/>
          <w:lang w:val="en-US" w:eastAsia="zh-CN" w:bidi="ar-SA"/>
        </w:rPr>
        <w:t>3.</w:t>
      </w:r>
      <w:r>
        <w:rPr>
          <w:rFonts w:hint="eastAsia" w:ascii="Calibri" w:hAnsi="Calibri" w:eastAsia="仿宋_GB2312" w:cs="Times New Roman"/>
          <w:kern w:val="2"/>
          <w:sz w:val="32"/>
          <w:szCs w:val="24"/>
          <w:lang w:val="en-US" w:eastAsia="zh-CN" w:bidi="ar-SA"/>
        </w:rPr>
        <w:t>场地照明要求</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w:t>
      </w:r>
      <w:r>
        <w:rPr>
          <w:rFonts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t>）</w:t>
      </w:r>
      <w:r>
        <w:rPr>
          <w:rFonts w:hint="eastAsia" w:ascii="Calibri" w:hAnsi="Calibri" w:eastAsia="仿宋_GB2312" w:cs="Times New Roman"/>
          <w:kern w:val="2"/>
          <w:sz w:val="32"/>
          <w:szCs w:val="24"/>
          <w:lang w:val="en-US" w:eastAsia="zh-CN" w:bidi="ar-SA"/>
        </w:rPr>
        <w:t>比赛场地应采光良好，有玻璃窗，能保证白天进行正常的比赛。</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w:t>
      </w:r>
      <w:r>
        <w:rPr>
          <w:rFonts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kern w:val="2"/>
          <w:sz w:val="32"/>
          <w:szCs w:val="32"/>
          <w:lang w:val="en-US" w:eastAsia="zh-CN" w:bidi="ar-SA"/>
        </w:rPr>
        <w:t>）</w:t>
      </w:r>
      <w:r>
        <w:rPr>
          <w:rFonts w:hint="eastAsia" w:ascii="Calibri" w:hAnsi="Calibri" w:eastAsia="仿宋_GB2312" w:cs="Times New Roman"/>
          <w:kern w:val="2"/>
          <w:sz w:val="32"/>
          <w:szCs w:val="24"/>
          <w:lang w:val="en-US" w:eastAsia="zh-CN" w:bidi="ar-SA"/>
        </w:rPr>
        <w:t>比赛场地应安装足够的节能灯，能保证在傍晚或光线暗时也能进行正常的比赛。</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w:t>
      </w:r>
      <w:r>
        <w:rPr>
          <w:rFonts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kern w:val="2"/>
          <w:sz w:val="32"/>
          <w:szCs w:val="32"/>
          <w:lang w:val="en-US" w:eastAsia="zh-CN" w:bidi="ar-SA"/>
        </w:rPr>
        <w:t>）</w:t>
      </w:r>
      <w:r>
        <w:rPr>
          <w:rFonts w:hint="eastAsia" w:ascii="Calibri" w:hAnsi="Calibri" w:eastAsia="仿宋_GB2312" w:cs="Times New Roman"/>
          <w:kern w:val="2"/>
          <w:sz w:val="32"/>
          <w:szCs w:val="24"/>
          <w:lang w:val="en-US" w:eastAsia="zh-CN" w:bidi="ar-SA"/>
        </w:rPr>
        <w:t>每个比赛工位应配备照明灯或电筒。</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4</w:t>
      </w:r>
      <w:r>
        <w:rPr>
          <w:rFonts w:ascii="仿宋_GB2312" w:hAnsi="仿宋_GB2312" w:eastAsia="仿宋_GB2312" w:cs="仿宋_GB2312"/>
          <w:kern w:val="2"/>
          <w:sz w:val="32"/>
          <w:szCs w:val="32"/>
          <w:lang w:val="en-US" w:eastAsia="zh-CN" w:bidi="ar-SA"/>
        </w:rPr>
        <w:t>.</w:t>
      </w:r>
      <w:r>
        <w:rPr>
          <w:rFonts w:hint="eastAsia" w:ascii="Calibri" w:hAnsi="Calibri" w:eastAsia="仿宋_GB2312" w:cs="Times New Roman"/>
          <w:kern w:val="2"/>
          <w:sz w:val="32"/>
          <w:szCs w:val="24"/>
          <w:lang w:val="en-US" w:eastAsia="zh-CN" w:bidi="ar-SA"/>
        </w:rPr>
        <w:t>场地消防和逃生要求</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w:t>
      </w:r>
      <w:r>
        <w:rPr>
          <w:rFonts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t>）</w:t>
      </w:r>
      <w:r>
        <w:rPr>
          <w:rFonts w:hint="eastAsia" w:ascii="Calibri" w:hAnsi="Calibri" w:eastAsia="仿宋_GB2312" w:cs="Times New Roman"/>
          <w:kern w:val="2"/>
          <w:sz w:val="32"/>
          <w:szCs w:val="24"/>
          <w:lang w:val="en-US" w:eastAsia="zh-CN" w:bidi="ar-SA"/>
        </w:rPr>
        <w:t>比赛场地内必须悬挂“紧急情况安全疏散图”，并有醒目的“安全出口”指示牌。</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（2）</w:t>
      </w:r>
      <w:r>
        <w:rPr>
          <w:rFonts w:hint="eastAsia" w:ascii="Calibri" w:hAnsi="Calibri" w:eastAsia="仿宋_GB2312" w:cs="Times New Roman"/>
          <w:kern w:val="2"/>
          <w:sz w:val="32"/>
          <w:szCs w:val="24"/>
          <w:lang w:val="en-US" w:eastAsia="zh-CN" w:bidi="ar-SA"/>
        </w:rPr>
        <w:t>比赛场地内应留有至少1.5米宽的“安全疏散通道”，地面画有清楚的“安全通道标识线”。</w:t>
      </w:r>
    </w:p>
    <w:p>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（3）</w:t>
      </w:r>
      <w:r>
        <w:rPr>
          <w:rFonts w:hint="eastAsia" w:ascii="Calibri" w:hAnsi="Calibri" w:eastAsia="仿宋_GB2312" w:cs="Times New Roman"/>
          <w:kern w:val="2"/>
          <w:sz w:val="32"/>
          <w:szCs w:val="24"/>
          <w:lang w:val="en-US" w:eastAsia="zh-CN" w:bidi="ar-SA"/>
        </w:rPr>
        <w:t>比赛场地内必须配备足够的灭火器，每一个比赛工位须配置灭火器1个。</w:t>
      </w:r>
    </w:p>
    <w:p>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outlineLvl w:val="1"/>
        <w:rPr>
          <w:rFonts w:hint="eastAsia" w:ascii="楷体_GB2312" w:hAnsi="楷体_GB2312" w:eastAsia="楷体_GB2312" w:cs="楷体_GB2312"/>
          <w:sz w:val="32"/>
          <w:szCs w:val="32"/>
        </w:rPr>
      </w:pPr>
      <w:bookmarkStart w:id="47" w:name="_Toc1415_WPSOffice_Level2"/>
      <w:r>
        <w:rPr>
          <w:rFonts w:hint="eastAsia" w:ascii="楷体_GB2312" w:hAnsi="楷体_GB2312" w:eastAsia="楷体_GB2312" w:cs="楷体_GB2312"/>
          <w:sz w:val="32"/>
          <w:szCs w:val="32"/>
        </w:rPr>
        <w:t>（二）场地布局图</w:t>
      </w:r>
      <w:bookmarkEnd w:id="47"/>
    </w:p>
    <w:p>
      <w:pPr>
        <w:spacing w:line="586" w:lineRule="exact"/>
        <w:ind w:firstLine="640" w:firstLineChars="200"/>
        <w:rPr>
          <w:rFonts w:hint="eastAsia" w:ascii="LinTimes" w:hAnsi="LinTimes" w:cs="LinTimes"/>
          <w:sz w:val="32"/>
          <w:szCs w:val="24"/>
        </w:rPr>
      </w:pPr>
      <w:r>
        <w:rPr>
          <w:rFonts w:hint="eastAsia" w:ascii="仿宋_GB2312" w:hAnsi="仿宋_GB2312" w:eastAsia="仿宋_GB2312" w:cs="仿宋_GB2312"/>
          <w:sz w:val="32"/>
          <w:szCs w:val="32"/>
        </w:rPr>
        <w:t>机动车检测工（车路协同技术）项目场地布局图如下。</w:t>
      </w:r>
    </w:p>
    <w:p>
      <w:pPr>
        <w:widowControl w:val="0"/>
        <w:spacing w:line="240" w:lineRule="auto"/>
        <w:ind w:firstLine="0" w:firstLineChars="0"/>
        <w:jc w:val="center"/>
        <w:rPr>
          <w:rFonts w:hint="eastAsia" w:ascii="LinTimes" w:hAnsi="LinTimes" w:eastAsia="仿宋_GB2312" w:cs="LinTimes"/>
          <w:kern w:val="2"/>
          <w:sz w:val="32"/>
          <w:szCs w:val="24"/>
          <w:lang w:val="en-US" w:eastAsia="zh-CN" w:bidi="ar-SA"/>
        </w:rPr>
      </w:pPr>
      <w:r>
        <w:pict>
          <v:shape id="_x0000_i1026" o:spt="75" type="#_x0000_t75" style="height:397.5pt;width:415.5pt;" filled="f" stroked="f" coordsize="21600,21600">
            <v:path/>
            <v:fill on="f" focussize="0,0"/>
            <v:stroke on="f"/>
            <v:imagedata r:id="rId8" o:title=""/>
            <o:lock v:ext="edit" aspectratio="t"/>
            <w10:wrap type="none"/>
            <w10:anchorlock/>
          </v:shape>
        </w:pict>
      </w:r>
    </w:p>
    <w:p>
      <w:pPr>
        <w:spacing w:line="586" w:lineRule="exact"/>
        <w:ind w:firstLine="480" w:firstLineChars="20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图</w:t>
      </w:r>
      <w:r>
        <w:rPr>
          <w:rFonts w:ascii="仿宋_GB2312" w:hAnsi="仿宋_GB2312" w:eastAsia="仿宋_GB2312" w:cs="仿宋_GB2312"/>
          <w:sz w:val="24"/>
          <w:szCs w:val="24"/>
        </w:rPr>
        <w:t>2</w:t>
      </w:r>
      <w:r>
        <w:rPr>
          <w:rFonts w:hint="eastAsia" w:ascii="仿宋_GB2312" w:hAnsi="仿宋_GB2312" w:eastAsia="仿宋_GB2312" w:cs="仿宋_GB2312"/>
          <w:sz w:val="24"/>
          <w:szCs w:val="24"/>
        </w:rPr>
        <w:t>车路协同技术赛项场地布局示意图</w:t>
      </w:r>
    </w:p>
    <w:p>
      <w:pPr>
        <w:widowControl w:val="0"/>
        <w:spacing w:line="586" w:lineRule="exact"/>
        <w:ind w:firstLine="480" w:firstLineChars="200"/>
        <w:jc w:val="center"/>
        <w:rPr>
          <w:rFonts w:hint="eastAsia" w:ascii="LinTimes" w:hAnsi="LinTimes" w:eastAsia="仿宋_GB2312" w:cs="LinTimes"/>
          <w:kern w:val="2"/>
          <w:sz w:val="24"/>
          <w:szCs w:val="21"/>
          <w:lang w:val="en-US" w:eastAsia="zh-CN" w:bidi="ar-SA"/>
        </w:rPr>
      </w:pPr>
      <w:r>
        <w:rPr>
          <w:rFonts w:hint="eastAsia" w:ascii="LinTimes" w:hAnsi="LinTimes" w:eastAsia="仿宋_GB2312" w:cs="LinTimes"/>
          <w:kern w:val="2"/>
          <w:sz w:val="24"/>
          <w:szCs w:val="21"/>
          <w:lang w:val="en-US" w:eastAsia="zh-CN" w:bidi="ar-SA"/>
        </w:rPr>
        <w:t>（最终以场地实际布局为准）</w:t>
      </w:r>
    </w:p>
    <w:p>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outlineLvl w:val="1"/>
        <w:rPr>
          <w:rFonts w:hint="eastAsia" w:ascii="楷体_GB2312" w:hAnsi="楷体_GB2312" w:eastAsia="楷体_GB2312" w:cs="楷体_GB2312"/>
          <w:sz w:val="32"/>
          <w:szCs w:val="32"/>
        </w:rPr>
      </w:pPr>
      <w:bookmarkStart w:id="48" w:name="_Toc2692_WPSOffice_Level2"/>
      <w:r>
        <w:rPr>
          <w:rFonts w:hint="eastAsia" w:ascii="楷体_GB2312" w:hAnsi="楷体_GB2312" w:eastAsia="楷体_GB2312" w:cs="楷体_GB2312"/>
          <w:sz w:val="32"/>
          <w:szCs w:val="32"/>
        </w:rPr>
        <w:t>（三）基础设施清单</w:t>
      </w:r>
      <w:bookmarkEnd w:id="48"/>
    </w:p>
    <w:p>
      <w:pPr>
        <w:spacing w:line="586" w:lineRule="exact"/>
        <w:ind w:firstLine="640" w:firstLineChars="200"/>
        <w:rPr>
          <w:rFonts w:ascii="仿宋_GB2312" w:hAnsi="仿宋_GB2312" w:eastAsia="仿宋_GB2312" w:cs="仿宋_GB2312"/>
          <w:sz w:val="24"/>
          <w:szCs w:val="24"/>
        </w:rPr>
      </w:pPr>
      <w:r>
        <w:rPr>
          <w:rFonts w:hint="eastAsia" w:ascii="仿宋_GB2312" w:hAnsi="仿宋_GB2312" w:eastAsia="仿宋_GB2312" w:cs="仿宋_GB2312"/>
          <w:sz w:val="32"/>
          <w:szCs w:val="32"/>
        </w:rPr>
        <w:t>机动车检测工（车路协同技术）项目所有设备设施、工具量具等均由赛场提供，无需选手自带。不允许选手自带设备设施、工具量具入场。</w:t>
      </w:r>
      <w:r>
        <w:rPr>
          <w:rFonts w:ascii="仿宋_GB2312" w:hAnsi="仿宋_GB2312" w:eastAsia="仿宋_GB2312" w:cs="仿宋_GB2312"/>
          <w:sz w:val="32"/>
          <w:szCs w:val="32"/>
        </w:rPr>
        <w:t>竞赛平台主要配置清单见表6，但不限于表6，保证竞赛过程不因缺少安装工具、测试工具和耗材等，影响竞赛正常进行。</w:t>
      </w:r>
    </w:p>
    <w:p>
      <w:pPr>
        <w:spacing w:before="28" w:line="229" w:lineRule="auto"/>
        <w:ind w:firstLine="3475"/>
        <w:rPr>
          <w:rFonts w:ascii="仿宋_GB2312" w:hAnsi="仿宋_GB2312" w:eastAsia="仿宋_GB2312" w:cs="仿宋_GB2312"/>
          <w:sz w:val="24"/>
          <w:szCs w:val="24"/>
        </w:rPr>
      </w:pPr>
      <w:r>
        <w:rPr>
          <w:rFonts w:ascii="仿宋_GB2312" w:hAnsi="仿宋_GB2312" w:eastAsia="仿宋_GB2312" w:cs="仿宋_GB2312"/>
          <w:sz w:val="24"/>
          <w:szCs w:val="24"/>
        </w:rPr>
        <w:t>表6 技术平台主要配置清单</w:t>
      </w:r>
    </w:p>
    <w:p>
      <w:pPr>
        <w:spacing w:line="31" w:lineRule="exact"/>
        <w:rPr>
          <w:rFonts w:cs="Times New Roman"/>
          <w:sz w:val="32"/>
          <w:szCs w:val="24"/>
        </w:rPr>
      </w:pPr>
    </w:p>
    <w:tbl>
      <w:tblPr>
        <w:tblStyle w:val="49"/>
        <w:tblW w:w="5003"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87"/>
        <w:gridCol w:w="4016"/>
        <w:gridCol w:w="830"/>
        <w:gridCol w:w="830"/>
        <w:gridCol w:w="22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b/>
                <w:bCs/>
                <w:snapToGrid/>
                <w:color w:val="auto"/>
                <w:kern w:val="0"/>
                <w:sz w:val="24"/>
                <w:szCs w:val="24"/>
                <w:lang w:val="en-GB" w:eastAsia="zh-CN" w:bidi="ar-SA"/>
              </w:rPr>
            </w:pPr>
            <w:r>
              <w:rPr>
                <w:rFonts w:hint="eastAsia" w:ascii="仿宋_GB2312" w:hAnsi="仿宋_GB2312" w:eastAsia="仿宋_GB2312" w:cs="仿宋_GB2312"/>
                <w:b/>
                <w:bCs/>
                <w:snapToGrid/>
                <w:color w:val="auto"/>
                <w:kern w:val="0"/>
                <w:sz w:val="24"/>
                <w:szCs w:val="24"/>
                <w:lang w:val="en-GB" w:eastAsia="zh-CN" w:bidi="ar-SA"/>
              </w:rPr>
              <w:t>序号</w:t>
            </w:r>
          </w:p>
        </w:tc>
        <w:tc>
          <w:tcPr>
            <w:tcW w:w="2326" w:type="pct"/>
            <w:vAlign w:val="center"/>
          </w:tcPr>
          <w:p>
            <w:pPr>
              <w:widowControl/>
              <w:snapToGrid w:val="0"/>
              <w:spacing w:line="240" w:lineRule="atLeast"/>
              <w:jc w:val="center"/>
              <w:rPr>
                <w:rFonts w:ascii="仿宋_GB2312" w:hAnsi="仿宋_GB2312" w:eastAsia="仿宋_GB2312" w:cs="仿宋_GB2312"/>
                <w:b/>
                <w:bCs/>
                <w:snapToGrid/>
                <w:color w:val="auto"/>
                <w:kern w:val="0"/>
                <w:sz w:val="24"/>
                <w:szCs w:val="24"/>
                <w:lang w:val="en-GB" w:eastAsia="zh-CN" w:bidi="ar-SA"/>
              </w:rPr>
            </w:pPr>
            <w:r>
              <w:rPr>
                <w:rFonts w:hint="eastAsia" w:ascii="仿宋_GB2312" w:hAnsi="仿宋_GB2312" w:eastAsia="仿宋_GB2312" w:cs="仿宋_GB2312"/>
                <w:b/>
                <w:bCs/>
                <w:snapToGrid/>
                <w:color w:val="auto"/>
                <w:kern w:val="0"/>
                <w:sz w:val="24"/>
                <w:szCs w:val="24"/>
                <w:lang w:val="en-GB" w:eastAsia="zh-CN" w:bidi="ar-SA"/>
              </w:rPr>
              <w:t>设备名称</w:t>
            </w:r>
          </w:p>
        </w:tc>
        <w:tc>
          <w:tcPr>
            <w:tcW w:w="481" w:type="pct"/>
            <w:vAlign w:val="center"/>
          </w:tcPr>
          <w:p>
            <w:pPr>
              <w:widowControl/>
              <w:snapToGrid w:val="0"/>
              <w:spacing w:line="240" w:lineRule="atLeast"/>
              <w:jc w:val="center"/>
              <w:rPr>
                <w:rFonts w:ascii="仿宋_GB2312" w:hAnsi="仿宋_GB2312" w:eastAsia="仿宋_GB2312" w:cs="仿宋_GB2312"/>
                <w:b/>
                <w:bCs/>
                <w:snapToGrid/>
                <w:color w:val="auto"/>
                <w:kern w:val="0"/>
                <w:sz w:val="24"/>
                <w:szCs w:val="24"/>
                <w:lang w:val="en-GB" w:eastAsia="zh-CN" w:bidi="ar-SA"/>
              </w:rPr>
            </w:pPr>
            <w:r>
              <w:rPr>
                <w:rFonts w:hint="eastAsia" w:ascii="仿宋_GB2312" w:hAnsi="仿宋_GB2312" w:eastAsia="仿宋_GB2312" w:cs="仿宋_GB2312"/>
                <w:b/>
                <w:bCs/>
                <w:snapToGrid/>
                <w:color w:val="auto"/>
                <w:kern w:val="0"/>
                <w:sz w:val="24"/>
                <w:szCs w:val="24"/>
                <w:lang w:val="en-GB" w:eastAsia="zh-CN" w:bidi="ar-SA"/>
              </w:rPr>
              <w:t>数量</w:t>
            </w:r>
          </w:p>
        </w:tc>
        <w:tc>
          <w:tcPr>
            <w:tcW w:w="481" w:type="pct"/>
            <w:vAlign w:val="center"/>
          </w:tcPr>
          <w:p>
            <w:pPr>
              <w:widowControl/>
              <w:snapToGrid w:val="0"/>
              <w:spacing w:line="240" w:lineRule="atLeast"/>
              <w:jc w:val="center"/>
              <w:rPr>
                <w:rFonts w:ascii="仿宋_GB2312" w:hAnsi="仿宋_GB2312" w:eastAsia="仿宋_GB2312" w:cs="仿宋_GB2312"/>
                <w:b/>
                <w:bCs/>
                <w:snapToGrid/>
                <w:color w:val="auto"/>
                <w:kern w:val="0"/>
                <w:sz w:val="24"/>
                <w:szCs w:val="24"/>
                <w:lang w:val="en-GB" w:eastAsia="zh-CN" w:bidi="ar-SA"/>
              </w:rPr>
            </w:pPr>
            <w:r>
              <w:rPr>
                <w:rFonts w:hint="eastAsia" w:ascii="仿宋_GB2312" w:hAnsi="仿宋_GB2312" w:eastAsia="仿宋_GB2312" w:cs="仿宋_GB2312"/>
                <w:b/>
                <w:bCs/>
                <w:snapToGrid/>
                <w:color w:val="auto"/>
                <w:kern w:val="0"/>
                <w:sz w:val="24"/>
                <w:szCs w:val="24"/>
                <w:lang w:val="en-GB" w:eastAsia="zh-CN" w:bidi="ar-SA"/>
              </w:rPr>
              <w:t>单位</w:t>
            </w:r>
          </w:p>
        </w:tc>
        <w:tc>
          <w:tcPr>
            <w:tcW w:w="1312" w:type="pct"/>
            <w:vAlign w:val="center"/>
          </w:tcPr>
          <w:p>
            <w:pPr>
              <w:widowControl/>
              <w:snapToGrid w:val="0"/>
              <w:spacing w:line="240" w:lineRule="atLeast"/>
              <w:jc w:val="center"/>
              <w:rPr>
                <w:rFonts w:ascii="仿宋_GB2312" w:hAnsi="仿宋_GB2312" w:eastAsia="仿宋_GB2312" w:cs="仿宋_GB2312"/>
                <w:b/>
                <w:bCs/>
                <w:snapToGrid/>
                <w:color w:val="auto"/>
                <w:kern w:val="0"/>
                <w:sz w:val="24"/>
                <w:szCs w:val="24"/>
                <w:lang w:val="en-GB" w:eastAsia="zh-CN" w:bidi="ar-SA"/>
              </w:rPr>
            </w:pPr>
            <w:r>
              <w:rPr>
                <w:rFonts w:hint="eastAsia" w:ascii="仿宋_GB2312" w:hAnsi="仿宋_GB2312" w:eastAsia="仿宋_GB2312" w:cs="仿宋_GB2312"/>
                <w:b/>
                <w:bCs/>
                <w:snapToGrid/>
                <w:color w:val="auto"/>
                <w:kern w:val="0"/>
                <w:sz w:val="24"/>
                <w:szCs w:val="24"/>
                <w:lang w:val="en-GB" w:eastAsia="zh-CN" w:bidi="ar-SA"/>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纯电动乘用车</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辆</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2</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激光雷达</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3</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台</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3</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毫米波雷达</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台</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4</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摄像机（鱼眼）</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4</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台</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5</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单目相机</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台</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6</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组合导航</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台</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7</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工控机</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个</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8</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处理器</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个</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9</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4G路由器</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个</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10</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交换机</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个</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11</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显示器</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个</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12</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智能网联汽车虚拟仿真测试软件</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套</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14</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车路协同一体化基站</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套</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15</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智能车载单元</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套</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hint="default" w:ascii="仿宋_GB2312" w:hAnsi="仿宋_GB2312" w:eastAsia="仿宋_GB2312" w:cs="仿宋_GB2312"/>
                <w:snapToGrid/>
                <w:color w:val="auto"/>
                <w:kern w:val="0"/>
                <w:sz w:val="24"/>
                <w:szCs w:val="24"/>
                <w:lang w:val="en-US" w:eastAsia="zh-CN" w:bidi="ar-SA"/>
              </w:rPr>
            </w:pPr>
            <w:r>
              <w:rPr>
                <w:rFonts w:hint="eastAsia" w:ascii="仿宋_GB2312" w:hAnsi="仿宋_GB2312" w:eastAsia="仿宋_GB2312" w:cs="仿宋_GB2312"/>
                <w:snapToGrid/>
                <w:color w:val="auto"/>
                <w:kern w:val="0"/>
                <w:sz w:val="24"/>
                <w:szCs w:val="24"/>
                <w:lang w:val="en-US" w:eastAsia="zh-CN" w:bidi="ar-SA"/>
              </w:rPr>
              <w:t>16</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工具箱（汽车常用安装和测量工具）</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台</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hint="default" w:ascii="仿宋_GB2312" w:hAnsi="仿宋_GB2312" w:eastAsia="仿宋_GB2312" w:cs="仿宋_GB2312"/>
                <w:snapToGrid/>
                <w:color w:val="auto"/>
                <w:kern w:val="0"/>
                <w:sz w:val="24"/>
                <w:szCs w:val="24"/>
                <w:lang w:val="en-US" w:eastAsia="zh-CN" w:bidi="ar-SA"/>
              </w:rPr>
            </w:pPr>
            <w:r>
              <w:rPr>
                <w:rFonts w:hint="eastAsia" w:ascii="仿宋_GB2312" w:hAnsi="仿宋_GB2312" w:eastAsia="仿宋_GB2312" w:cs="仿宋_GB2312"/>
                <w:snapToGrid/>
                <w:color w:val="auto"/>
                <w:kern w:val="0"/>
                <w:sz w:val="24"/>
                <w:szCs w:val="24"/>
                <w:lang w:val="en-US" w:eastAsia="zh-CN" w:bidi="ar-SA"/>
              </w:rPr>
              <w:t>17</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水平仪</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个</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hint="default" w:ascii="仿宋_GB2312" w:hAnsi="仿宋_GB2312" w:eastAsia="仿宋_GB2312" w:cs="仿宋_GB2312"/>
                <w:snapToGrid/>
                <w:color w:val="auto"/>
                <w:kern w:val="0"/>
                <w:sz w:val="24"/>
                <w:szCs w:val="24"/>
                <w:lang w:val="en-US" w:eastAsia="zh-CN" w:bidi="ar-SA"/>
              </w:rPr>
            </w:pPr>
            <w:r>
              <w:rPr>
                <w:rFonts w:hint="eastAsia" w:ascii="仿宋_GB2312" w:hAnsi="仿宋_GB2312" w:eastAsia="仿宋_GB2312" w:cs="仿宋_GB2312"/>
                <w:snapToGrid/>
                <w:color w:val="auto"/>
                <w:kern w:val="0"/>
                <w:sz w:val="24"/>
                <w:szCs w:val="24"/>
                <w:lang w:val="en-US" w:eastAsia="zh-CN" w:bidi="ar-SA"/>
              </w:rPr>
              <w:t>18</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万用表</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台</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hint="default" w:ascii="仿宋_GB2312" w:hAnsi="仿宋_GB2312" w:eastAsia="仿宋_GB2312" w:cs="仿宋_GB2312"/>
                <w:snapToGrid/>
                <w:color w:val="auto"/>
                <w:kern w:val="0"/>
                <w:sz w:val="24"/>
                <w:szCs w:val="24"/>
                <w:lang w:val="en-US" w:eastAsia="zh-CN" w:bidi="ar-SA"/>
              </w:rPr>
            </w:pPr>
            <w:r>
              <w:rPr>
                <w:rFonts w:hint="eastAsia" w:ascii="仿宋_GB2312" w:hAnsi="仿宋_GB2312" w:eastAsia="仿宋_GB2312" w:cs="仿宋_GB2312"/>
                <w:snapToGrid/>
                <w:color w:val="auto"/>
                <w:kern w:val="0"/>
                <w:sz w:val="24"/>
                <w:szCs w:val="24"/>
                <w:lang w:val="en-US" w:eastAsia="zh-CN" w:bidi="ar-SA"/>
              </w:rPr>
              <w:t>19</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灭火器</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2</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个</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pPr>
              <w:widowControl/>
              <w:snapToGrid w:val="0"/>
              <w:spacing w:line="240" w:lineRule="atLeast"/>
              <w:jc w:val="center"/>
              <w:rPr>
                <w:rFonts w:hint="default" w:ascii="仿宋_GB2312" w:hAnsi="仿宋_GB2312" w:eastAsia="仿宋_GB2312" w:cs="仿宋_GB2312"/>
                <w:snapToGrid/>
                <w:color w:val="auto"/>
                <w:kern w:val="0"/>
                <w:sz w:val="24"/>
                <w:szCs w:val="24"/>
                <w:lang w:val="en-US" w:eastAsia="zh-CN" w:bidi="ar-SA"/>
              </w:rPr>
            </w:pPr>
            <w:r>
              <w:rPr>
                <w:rFonts w:hint="eastAsia" w:ascii="仿宋_GB2312" w:hAnsi="仿宋_GB2312" w:eastAsia="仿宋_GB2312" w:cs="仿宋_GB2312"/>
                <w:snapToGrid/>
                <w:color w:val="auto"/>
                <w:kern w:val="0"/>
                <w:sz w:val="24"/>
                <w:szCs w:val="24"/>
                <w:lang w:val="en-US" w:eastAsia="zh-CN" w:bidi="ar-SA"/>
              </w:rPr>
              <w:t>20</w:t>
            </w:r>
          </w:p>
        </w:tc>
        <w:tc>
          <w:tcPr>
            <w:tcW w:w="2326"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安全防护用具</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2</w:t>
            </w:r>
          </w:p>
        </w:tc>
        <w:tc>
          <w:tcPr>
            <w:tcW w:w="481"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套</w:t>
            </w:r>
          </w:p>
        </w:tc>
        <w:tc>
          <w:tcPr>
            <w:tcW w:w="1312" w:type="pct"/>
            <w:vAlign w:val="center"/>
          </w:tcPr>
          <w:p>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bl>
    <w:p>
      <w:pPr>
        <w:widowControl w:val="0"/>
        <w:spacing w:line="560" w:lineRule="exact"/>
        <w:ind w:firstLine="480" w:firstLineChars="200"/>
        <w:jc w:val="both"/>
        <w:rPr>
          <w:rFonts w:ascii="仿宋_GB2312" w:hAnsi="仿宋_GB2312" w:eastAsia="仿宋_GB2312" w:cs="仿宋_GB2312"/>
          <w:kern w:val="2"/>
          <w:sz w:val="24"/>
          <w:szCs w:val="24"/>
          <w:lang w:val="en-US" w:eastAsia="zh-CN" w:bidi="ar-SA"/>
        </w:rPr>
      </w:pPr>
      <w:r>
        <w:rPr>
          <w:rFonts w:ascii="仿宋_GB2312" w:hAnsi="仿宋_GB2312" w:eastAsia="仿宋_GB2312" w:cs="仿宋_GB2312"/>
          <w:kern w:val="2"/>
          <w:sz w:val="24"/>
          <w:szCs w:val="24"/>
          <w:lang w:val="en-US" w:eastAsia="zh-CN" w:bidi="ar-SA"/>
        </w:rPr>
        <w:t>赛场主要设备的技术参数详见《</w:t>
      </w:r>
      <w:r>
        <w:rPr>
          <w:rFonts w:hint="eastAsia" w:ascii="仿宋_GB2312" w:hAnsi="仿宋_GB2312" w:eastAsia="仿宋_GB2312" w:cs="仿宋_GB2312"/>
          <w:kern w:val="2"/>
          <w:sz w:val="24"/>
          <w:szCs w:val="24"/>
          <w:lang w:val="en-US" w:eastAsia="zh-CN" w:bidi="ar-SA"/>
        </w:rPr>
        <w:t>附件：竞赛平台主要设备技术指标</w:t>
      </w:r>
      <w:r>
        <w:rPr>
          <w:rFonts w:ascii="仿宋_GB2312" w:hAnsi="仿宋_GB2312" w:eastAsia="仿宋_GB2312" w:cs="仿宋_GB2312"/>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LinTimes" w:hAnsi="LinTimes" w:eastAsia="黑体" w:cs="黑体"/>
          <w:sz w:val="32"/>
          <w:szCs w:val="32"/>
          <w:lang w:eastAsia="zh-CN"/>
        </w:rPr>
      </w:pPr>
      <w:bookmarkStart w:id="49" w:name="_Toc12229_WPSOffice_Level1"/>
      <w:r>
        <w:rPr>
          <w:rFonts w:hint="eastAsia" w:ascii="LinTimes" w:hAnsi="LinTimes" w:eastAsia="黑体" w:cs="黑体"/>
          <w:sz w:val="32"/>
          <w:szCs w:val="32"/>
          <w:lang w:eastAsia="zh-CN"/>
        </w:rPr>
        <w:t>五、安全、健康要求</w:t>
      </w:r>
      <w:bookmarkEnd w:id="49"/>
    </w:p>
    <w:p>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outlineLvl w:val="1"/>
        <w:rPr>
          <w:rFonts w:hint="eastAsia" w:ascii="楷体_GB2312" w:hAnsi="楷体_GB2312" w:eastAsia="楷体_GB2312" w:cs="楷体_GB2312"/>
          <w:sz w:val="32"/>
          <w:szCs w:val="32"/>
        </w:rPr>
      </w:pPr>
      <w:bookmarkStart w:id="50" w:name="_Toc18247_WPSOffice_Level2"/>
      <w:r>
        <w:rPr>
          <w:rFonts w:hint="eastAsia" w:ascii="楷体_GB2312" w:hAnsi="楷体_GB2312" w:eastAsia="楷体_GB2312" w:cs="楷体_GB2312"/>
          <w:sz w:val="32"/>
          <w:szCs w:val="32"/>
        </w:rPr>
        <w:t>（一）选手安全防护要求</w:t>
      </w:r>
      <w:bookmarkEnd w:id="50"/>
    </w:p>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选手安全防护措施要求见表</w:t>
      </w:r>
      <w:r>
        <w:rPr>
          <w:rFonts w:hint="eastAsia" w:ascii="仿宋_GB2312" w:hAnsi="仿宋_GB2312" w:eastAsia="仿宋_GB2312" w:cs="仿宋_GB2312"/>
          <w:sz w:val="32"/>
          <w:szCs w:val="32"/>
          <w:lang w:val="en-US" w:eastAsia="zh-CN"/>
        </w:rPr>
        <w:t>7</w:t>
      </w:r>
      <w:r>
        <w:rPr>
          <w:rFonts w:ascii="仿宋_GB2312" w:hAnsi="仿宋_GB2312" w:eastAsia="仿宋_GB2312" w:cs="仿宋_GB2312"/>
          <w:sz w:val="32"/>
          <w:szCs w:val="32"/>
        </w:rPr>
        <w:t>。</w:t>
      </w:r>
    </w:p>
    <w:p>
      <w:pPr>
        <w:spacing w:line="586" w:lineRule="exact"/>
        <w:ind w:firstLine="480" w:firstLineChars="200"/>
        <w:jc w:val="center"/>
        <w:rPr>
          <w:rFonts w:ascii="仿宋_GB2312" w:hAnsi="仿宋_GB2312" w:eastAsia="仿宋_GB2312" w:cs="仿宋_GB2312"/>
          <w:sz w:val="24"/>
          <w:szCs w:val="24"/>
        </w:rPr>
      </w:pPr>
      <w:r>
        <w:rPr>
          <w:rFonts w:ascii="仿宋_GB2312" w:hAnsi="仿宋_GB2312" w:eastAsia="仿宋_GB2312" w:cs="仿宋_GB2312"/>
          <w:sz w:val="24"/>
          <w:szCs w:val="24"/>
        </w:rPr>
        <w:t>表</w:t>
      </w:r>
      <w:r>
        <w:rPr>
          <w:rFonts w:hint="eastAsia" w:ascii="仿宋_GB2312" w:hAnsi="仿宋_GB2312" w:eastAsia="仿宋_GB2312" w:cs="仿宋_GB2312"/>
          <w:sz w:val="24"/>
          <w:szCs w:val="24"/>
          <w:lang w:val="en-US" w:eastAsia="zh-CN"/>
        </w:rPr>
        <w:t>7</w:t>
      </w:r>
      <w:r>
        <w:rPr>
          <w:rFonts w:ascii="仿宋_GB2312" w:hAnsi="仿宋_GB2312" w:eastAsia="仿宋_GB2312" w:cs="仿宋_GB2312"/>
          <w:sz w:val="24"/>
          <w:szCs w:val="24"/>
        </w:rPr>
        <w:t xml:space="preserve"> 选手安全防护装备</w:t>
      </w:r>
    </w:p>
    <w:tbl>
      <w:tblPr>
        <w:tblStyle w:val="18"/>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742"/>
        <w:gridCol w:w="2492"/>
        <w:gridCol w:w="46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74" w:hRule="atLeast"/>
          <w:jc w:val="center"/>
        </w:trPr>
        <w:tc>
          <w:tcPr>
            <w:tcW w:w="986" w:type="pct"/>
            <w:vAlign w:val="center"/>
          </w:tcPr>
          <w:p>
            <w:pPr>
              <w:spacing w:line="586" w:lineRule="exact"/>
              <w:jc w:val="center"/>
              <w:rPr>
                <w:rFonts w:ascii="仿宋_GB2312" w:hAnsi="仿宋_GB2312" w:eastAsia="仿宋_GB2312" w:cs="仿宋_GB2312"/>
                <w:b/>
                <w:bCs/>
                <w:sz w:val="24"/>
                <w:szCs w:val="24"/>
              </w:rPr>
            </w:pPr>
            <w:r>
              <w:rPr>
                <w:rFonts w:ascii="仿宋_GB2312" w:hAnsi="仿宋_GB2312" w:eastAsia="仿宋_GB2312" w:cs="仿宋_GB2312"/>
                <w:b/>
                <w:bCs/>
                <w:sz w:val="24"/>
                <w:szCs w:val="24"/>
              </w:rPr>
              <w:t>防护项目</w:t>
            </w:r>
          </w:p>
        </w:tc>
        <w:tc>
          <w:tcPr>
            <w:tcW w:w="1410" w:type="pct"/>
            <w:vAlign w:val="center"/>
          </w:tcPr>
          <w:p>
            <w:pPr>
              <w:spacing w:line="586" w:lineRule="exact"/>
              <w:ind w:firstLine="480" w:firstLineChars="200"/>
              <w:jc w:val="center"/>
              <w:rPr>
                <w:rFonts w:ascii="仿宋_GB2312" w:hAnsi="仿宋_GB2312" w:eastAsia="仿宋_GB2312" w:cs="仿宋_GB2312"/>
                <w:b/>
                <w:bCs/>
                <w:sz w:val="24"/>
                <w:szCs w:val="24"/>
              </w:rPr>
            </w:pPr>
            <w:r>
              <w:rPr>
                <w:rFonts w:ascii="仿宋_GB2312" w:hAnsi="仿宋_GB2312" w:eastAsia="仿宋_GB2312" w:cs="仿宋_GB2312"/>
                <w:b/>
                <w:bCs/>
                <w:sz w:val="24"/>
                <w:szCs w:val="24"/>
              </w:rPr>
              <w:t>图示</w:t>
            </w:r>
          </w:p>
        </w:tc>
        <w:tc>
          <w:tcPr>
            <w:tcW w:w="2603" w:type="pct"/>
            <w:vAlign w:val="center"/>
          </w:tcPr>
          <w:p>
            <w:pPr>
              <w:spacing w:line="586" w:lineRule="exact"/>
              <w:ind w:firstLine="480" w:firstLineChars="200"/>
              <w:jc w:val="center"/>
              <w:rPr>
                <w:rFonts w:ascii="仿宋_GB2312" w:hAnsi="仿宋_GB2312" w:eastAsia="仿宋_GB2312" w:cs="仿宋_GB2312"/>
                <w:b/>
                <w:bCs/>
                <w:sz w:val="24"/>
                <w:szCs w:val="24"/>
              </w:rPr>
            </w:pPr>
            <w:r>
              <w:rPr>
                <w:rFonts w:ascii="仿宋_GB2312" w:hAnsi="仿宋_GB2312" w:eastAsia="仿宋_GB2312" w:cs="仿宋_GB2312"/>
                <w:b/>
                <w:bCs/>
                <w:sz w:val="24"/>
                <w:szCs w:val="24"/>
              </w:rPr>
              <w:t>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1" w:hRule="atLeast"/>
          <w:jc w:val="center"/>
        </w:trPr>
        <w:tc>
          <w:tcPr>
            <w:tcW w:w="986" w:type="pct"/>
            <w:vAlign w:val="center"/>
          </w:tcPr>
          <w:p>
            <w:pPr>
              <w:spacing w:line="586" w:lineRule="exact"/>
              <w:jc w:val="center"/>
              <w:rPr>
                <w:rFonts w:ascii="仿宋_GB2312" w:hAnsi="仿宋_GB2312" w:eastAsia="仿宋_GB2312" w:cs="仿宋_GB2312"/>
                <w:sz w:val="24"/>
                <w:szCs w:val="24"/>
              </w:rPr>
            </w:pPr>
            <w:r>
              <w:rPr>
                <w:rFonts w:ascii="仿宋_GB2312" w:hAnsi="仿宋_GB2312" w:eastAsia="仿宋_GB2312" w:cs="仿宋_GB2312"/>
                <w:sz w:val="24"/>
                <w:szCs w:val="24"/>
              </w:rPr>
              <w:t>眼睛的防护</w:t>
            </w:r>
          </w:p>
        </w:tc>
        <w:tc>
          <w:tcPr>
            <w:tcW w:w="1410" w:type="pct"/>
            <w:vAlign w:val="center"/>
          </w:tcPr>
          <w:p>
            <w:pPr>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pict>
                <v:shape id="_x0000_i1027" o:spt="75" alt="卡通人物&#10;&#10;中度可信度描述已自动生成" type="#_x0000_t75" style="height:38pt;width:63.45pt;" filled="f" o:preferrelative="t" stroked="f" coordsize="21600,21600">
                  <v:path/>
                  <v:fill on="f" focussize="0,0"/>
                  <v:stroke on="f"/>
                  <v:imagedata r:id="rId9" o:title=""/>
                  <o:lock v:ext="edit" aspectratio="f"/>
                  <w10:wrap type="none"/>
                  <w10:anchorlock/>
                </v:shape>
              </w:pict>
            </w:r>
          </w:p>
        </w:tc>
        <w:tc>
          <w:tcPr>
            <w:tcW w:w="2603" w:type="pct"/>
            <w:vAlign w:val="center"/>
          </w:tcPr>
          <w:p>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1.防溅入</w:t>
            </w:r>
          </w:p>
          <w:p>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2.带近视镜也必须佩戴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042" w:hRule="atLeast"/>
          <w:jc w:val="center"/>
        </w:trPr>
        <w:tc>
          <w:tcPr>
            <w:tcW w:w="986" w:type="pct"/>
            <w:vAlign w:val="center"/>
          </w:tcPr>
          <w:p>
            <w:pPr>
              <w:spacing w:line="586" w:lineRule="exact"/>
              <w:jc w:val="center"/>
              <w:rPr>
                <w:rFonts w:ascii="仿宋_GB2312" w:hAnsi="仿宋_GB2312" w:eastAsia="仿宋_GB2312" w:cs="仿宋_GB2312"/>
                <w:sz w:val="24"/>
                <w:szCs w:val="24"/>
              </w:rPr>
            </w:pPr>
            <w:r>
              <w:rPr>
                <w:rFonts w:ascii="仿宋_GB2312" w:hAnsi="仿宋_GB2312" w:eastAsia="仿宋_GB2312" w:cs="仿宋_GB2312"/>
                <w:sz w:val="24"/>
                <w:szCs w:val="24"/>
              </w:rPr>
              <w:t>足部的防护</w:t>
            </w:r>
          </w:p>
        </w:tc>
        <w:tc>
          <w:tcPr>
            <w:tcW w:w="1410" w:type="pct"/>
            <w:vAlign w:val="center"/>
          </w:tcPr>
          <w:p>
            <w:pPr>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pict>
                <v:shape id="_x0000_i1028" o:spt="75" type="#_x0000_t75" style="height:29.25pt;width:47.5pt;" filled="f" o:preferrelative="t" stroked="f" coordsize="21600,21600">
                  <v:path/>
                  <v:fill on="f" focussize="0,0"/>
                  <v:stroke on="f"/>
                  <v:imagedata r:id="rId10" o:title=""/>
                  <o:lock v:ext="edit" aspectratio="f"/>
                  <w10:wrap type="none"/>
                  <w10:anchorlock/>
                </v:shape>
              </w:pict>
            </w:r>
          </w:p>
        </w:tc>
        <w:tc>
          <w:tcPr>
            <w:tcW w:w="2603" w:type="pct"/>
            <w:vAlign w:val="center"/>
          </w:tcPr>
          <w:p>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防滑、防砸、防穿刺、绝缘（参赛选手自备）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166" w:hRule="atLeast"/>
          <w:jc w:val="center"/>
        </w:trPr>
        <w:tc>
          <w:tcPr>
            <w:tcW w:w="986" w:type="pct"/>
            <w:vAlign w:val="center"/>
          </w:tcPr>
          <w:p>
            <w:pPr>
              <w:spacing w:line="586" w:lineRule="exact"/>
              <w:jc w:val="center"/>
              <w:rPr>
                <w:rFonts w:ascii="仿宋_GB2312" w:hAnsi="仿宋_GB2312" w:eastAsia="仿宋_GB2312" w:cs="仿宋_GB2312"/>
                <w:sz w:val="24"/>
                <w:szCs w:val="24"/>
              </w:rPr>
            </w:pPr>
            <w:r>
              <w:rPr>
                <w:rFonts w:ascii="仿宋_GB2312" w:hAnsi="仿宋_GB2312" w:eastAsia="仿宋_GB2312" w:cs="仿宋_GB2312"/>
                <w:sz w:val="24"/>
                <w:szCs w:val="24"/>
              </w:rPr>
              <w:t>安全帽</w:t>
            </w:r>
          </w:p>
        </w:tc>
        <w:tc>
          <w:tcPr>
            <w:tcW w:w="1410" w:type="pct"/>
            <w:vAlign w:val="center"/>
          </w:tcPr>
          <w:p>
            <w:pPr>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pict>
                <v:shape id="_x0000_i1029" o:spt="75" type="#_x0000_t75" style="height:36.45pt;width:51.2pt;" filled="f" o:preferrelative="t" stroked="f" coordsize="21600,21600">
                  <v:path/>
                  <v:fill on="f" focussize="0,0"/>
                  <v:stroke on="f"/>
                  <v:imagedata r:id="rId11" o:title=""/>
                  <o:lock v:ext="edit" aspectratio="f"/>
                  <w10:wrap type="none"/>
                  <w10:anchorlock/>
                </v:shape>
              </w:pict>
            </w:r>
          </w:p>
        </w:tc>
        <w:tc>
          <w:tcPr>
            <w:tcW w:w="2603" w:type="pct"/>
            <w:vAlign w:val="center"/>
          </w:tcPr>
          <w:p>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1.用来保护头顶的钢制或类似原料制的浅圆</w:t>
            </w:r>
            <w:r>
              <w:rPr>
                <w:rFonts w:ascii="仿宋_GB2312" w:hAnsi="仿宋_GB2312" w:eastAsia="仿宋_GB2312" w:cs="仿宋_GB2312"/>
                <w:color w:val="000000"/>
                <w:sz w:val="24"/>
                <w:szCs w:val="24"/>
              </w:rPr>
              <w:t>顶</w:t>
            </w:r>
            <w:r>
              <w:rPr>
                <w:rFonts w:cs="Times New Roman"/>
                <w:sz w:val="32"/>
                <w:szCs w:val="24"/>
              </w:rPr>
              <w:fldChar w:fldCharType="begin"/>
            </w:r>
            <w:r>
              <w:rPr>
                <w:rFonts w:cs="Times New Roman"/>
                <w:sz w:val="32"/>
                <w:szCs w:val="24"/>
              </w:rPr>
              <w:instrText xml:space="preserve"> HYPERLINK "https://baike.baidu.com/item/%E5%B8%BD%E5%AD%90/995404" </w:instrText>
            </w:r>
            <w:r>
              <w:rPr>
                <w:rFonts w:cs="Times New Roman"/>
                <w:sz w:val="32"/>
                <w:szCs w:val="24"/>
              </w:rPr>
              <w:fldChar w:fldCharType="separate"/>
            </w:r>
            <w:r>
              <w:rPr>
                <w:rFonts w:ascii="仿宋_GB2312" w:hAnsi="仿宋_GB2312" w:eastAsia="仿宋_GB2312" w:cs="仿宋_GB2312"/>
                <w:color w:val="000000"/>
                <w:sz w:val="24"/>
                <w:szCs w:val="24"/>
                <w:u w:val="none"/>
              </w:rPr>
              <w:t>帽子</w:t>
            </w:r>
            <w:r>
              <w:rPr>
                <w:rFonts w:ascii="仿宋_GB2312" w:hAnsi="仿宋_GB2312" w:eastAsia="仿宋_GB2312" w:cs="仿宋_GB2312"/>
                <w:color w:val="000000"/>
                <w:sz w:val="24"/>
                <w:szCs w:val="24"/>
                <w:u w:val="none"/>
              </w:rPr>
              <w:fldChar w:fldCharType="end"/>
            </w:r>
            <w:r>
              <w:rPr>
                <w:rFonts w:ascii="仿宋_GB2312" w:hAnsi="仿宋_GB2312" w:eastAsia="仿宋_GB2312" w:cs="仿宋_GB2312"/>
                <w:color w:val="000000"/>
                <w:sz w:val="24"/>
                <w:szCs w:val="24"/>
              </w:rPr>
              <w:t>，防</w:t>
            </w:r>
            <w:r>
              <w:rPr>
                <w:rFonts w:ascii="仿宋_GB2312" w:hAnsi="仿宋_GB2312" w:eastAsia="仿宋_GB2312" w:cs="仿宋_GB2312"/>
                <w:sz w:val="24"/>
                <w:szCs w:val="24"/>
              </w:rPr>
              <w:t>止冲击物伤害头部</w:t>
            </w:r>
          </w:p>
          <w:p>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2.比赛全程选手必须佩戴安全帽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564" w:hRule="atLeast"/>
          <w:jc w:val="center"/>
        </w:trPr>
        <w:tc>
          <w:tcPr>
            <w:tcW w:w="986" w:type="pct"/>
            <w:vAlign w:val="center"/>
          </w:tcPr>
          <w:p>
            <w:pPr>
              <w:spacing w:line="586" w:lineRule="exact"/>
              <w:jc w:val="center"/>
              <w:rPr>
                <w:rFonts w:ascii="仿宋_GB2312" w:hAnsi="仿宋_GB2312" w:eastAsia="仿宋_GB2312" w:cs="仿宋_GB2312"/>
                <w:sz w:val="24"/>
                <w:szCs w:val="24"/>
              </w:rPr>
            </w:pPr>
            <w:r>
              <w:rPr>
                <w:rFonts w:ascii="仿宋_GB2312" w:hAnsi="仿宋_GB2312" w:eastAsia="仿宋_GB2312" w:cs="仿宋_GB2312"/>
                <w:sz w:val="24"/>
                <w:szCs w:val="24"/>
              </w:rPr>
              <w:t>耐磨手套</w:t>
            </w:r>
          </w:p>
        </w:tc>
        <w:tc>
          <w:tcPr>
            <w:tcW w:w="1410" w:type="pct"/>
            <w:vAlign w:val="center"/>
          </w:tcPr>
          <w:p>
            <w:pPr>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pict>
                <v:shape id="_x0000_i1030" o:spt="75" alt="卡通人物&#10;&#10;中度可信度描述已自动生成" type="#_x0000_t75" style="height:63.1pt;width:63.1pt;" filled="f" o:preferrelative="t" stroked="f" coordsize="21600,21600">
                  <v:path/>
                  <v:fill on="f" focussize="0,0"/>
                  <v:stroke on="f"/>
                  <v:imagedata r:id="rId12" o:title=""/>
                  <o:lock v:ext="edit" aspectratio="f"/>
                  <w10:wrap type="none"/>
                  <w10:anchorlock/>
                </v:shape>
              </w:pict>
            </w:r>
          </w:p>
        </w:tc>
        <w:tc>
          <w:tcPr>
            <w:tcW w:w="2603" w:type="pct"/>
            <w:vAlign w:val="center"/>
          </w:tcPr>
          <w:p>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防滑、耐磨、耐油、耐酸碱</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166" w:hRule="atLeast"/>
          <w:jc w:val="center"/>
        </w:trPr>
        <w:tc>
          <w:tcPr>
            <w:tcW w:w="986" w:type="pct"/>
            <w:vAlign w:val="center"/>
          </w:tcPr>
          <w:p>
            <w:pPr>
              <w:spacing w:line="586" w:lineRule="exact"/>
              <w:jc w:val="center"/>
              <w:rPr>
                <w:rFonts w:ascii="仿宋_GB2312" w:hAnsi="仿宋_GB2312" w:eastAsia="仿宋_GB2312" w:cs="仿宋_GB2312"/>
                <w:sz w:val="24"/>
                <w:szCs w:val="24"/>
              </w:rPr>
            </w:pPr>
            <w:r>
              <w:rPr>
                <w:rFonts w:ascii="仿宋_GB2312" w:hAnsi="仿宋_GB2312" w:eastAsia="仿宋_GB2312" w:cs="仿宋_GB2312"/>
                <w:sz w:val="24"/>
                <w:szCs w:val="24"/>
              </w:rPr>
              <w:t>绝缘手套</w:t>
            </w:r>
          </w:p>
        </w:tc>
        <w:tc>
          <w:tcPr>
            <w:tcW w:w="1410" w:type="pct"/>
            <w:vAlign w:val="center"/>
          </w:tcPr>
          <w:p>
            <w:pPr>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pict>
                <v:shape id="_x0000_i1031" o:spt="75" type="#_x0000_t75" style="height:41.75pt;width:31.15pt;" filled="f" o:preferrelative="t" stroked="f" coordsize="21600,21600">
                  <v:path/>
                  <v:fill on="f" focussize="0,0"/>
                  <v:stroke on="f"/>
                  <v:imagedata r:id="rId13" o:title=""/>
                  <o:lock v:ext="edit" aspectratio="f"/>
                  <w10:wrap type="none"/>
                  <w10:anchorlock/>
                </v:shape>
              </w:pict>
            </w:r>
          </w:p>
        </w:tc>
        <w:tc>
          <w:tcPr>
            <w:tcW w:w="2603" w:type="pct"/>
            <w:vAlign w:val="center"/>
          </w:tcPr>
          <w:p>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天然橡胶制成，耐压等级1000V</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526" w:hRule="atLeast"/>
          <w:jc w:val="center"/>
        </w:trPr>
        <w:tc>
          <w:tcPr>
            <w:tcW w:w="986" w:type="pct"/>
            <w:vAlign w:val="center"/>
          </w:tcPr>
          <w:p>
            <w:pPr>
              <w:spacing w:line="586" w:lineRule="exact"/>
              <w:jc w:val="center"/>
              <w:rPr>
                <w:rFonts w:ascii="仿宋_GB2312" w:hAnsi="仿宋_GB2312" w:eastAsia="仿宋_GB2312" w:cs="仿宋_GB2312"/>
                <w:sz w:val="24"/>
                <w:szCs w:val="24"/>
              </w:rPr>
            </w:pPr>
            <w:r>
              <w:rPr>
                <w:rFonts w:ascii="仿宋_GB2312" w:hAnsi="仿宋_GB2312" w:eastAsia="仿宋_GB2312" w:cs="仿宋_GB2312"/>
                <w:sz w:val="24"/>
                <w:szCs w:val="24"/>
              </w:rPr>
              <w:t>工作服</w:t>
            </w:r>
          </w:p>
        </w:tc>
        <w:tc>
          <w:tcPr>
            <w:tcW w:w="1410" w:type="pct"/>
            <w:vAlign w:val="center"/>
          </w:tcPr>
          <w:p>
            <w:pPr>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pict>
                <v:shape id="_x0000_i1032" o:spt="75" alt="穿白色西装的男子&#10;&#10;描述已自动生成" type="#_x0000_t75" style="height:59.15pt;width:53pt;" filled="f" o:preferrelative="t" stroked="f" coordsize="21600,21600">
                  <v:path/>
                  <v:fill on="f" focussize="0,0"/>
                  <v:stroke on="f"/>
                  <v:imagedata r:id="rId14" o:title=""/>
                  <o:lock v:ext="edit" aspectratio="f"/>
                  <w10:wrap type="none"/>
                  <w10:anchorlock/>
                </v:shape>
              </w:pict>
            </w:r>
          </w:p>
        </w:tc>
        <w:tc>
          <w:tcPr>
            <w:tcW w:w="2603" w:type="pct"/>
            <w:vAlign w:val="center"/>
          </w:tcPr>
          <w:p>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1.必须是长裤</w:t>
            </w:r>
          </w:p>
          <w:p>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2.防护服必须紧身不松垮，达到三紧要求</w:t>
            </w:r>
          </w:p>
        </w:tc>
      </w:tr>
    </w:tbl>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大赛时，裁判员对违反安全与健康条例、违反操作规程的选手和象将提出警告并进行纠正。不听警告，不进行纠正的参赛选手会受不允许进入竞赛现场、罚去安全分、停止加工、取消竞赛资格等不程度的惩罚。</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选手在比赛场地内须一直穿戴工作装、劳保皮鞋。劳保皮鞋自带，鞋头部必须有铁护板。</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选手进入车辆底下或操作过程中有可能造成头部伤害时应佩戴工作帽。工作帽由比赛主办方提供。</w:t>
      </w:r>
    </w:p>
    <w:p>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选手在操作过程中有可能造成手部伤害时应佩戴布手套或线手套，当手接触油污或有害液体时佩戴胶手套。</w:t>
      </w:r>
    </w:p>
    <w:p>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outlineLvl w:val="1"/>
        <w:rPr>
          <w:rFonts w:hint="eastAsia" w:ascii="楷体_GB2312" w:hAnsi="楷体_GB2312" w:eastAsia="楷体_GB2312" w:cs="楷体_GB2312"/>
          <w:sz w:val="32"/>
          <w:szCs w:val="32"/>
        </w:rPr>
      </w:pPr>
      <w:bookmarkStart w:id="51" w:name="_Toc16155_WPSOffice_Level2"/>
      <w:r>
        <w:rPr>
          <w:rFonts w:hint="eastAsia" w:ascii="楷体_GB2312" w:hAnsi="楷体_GB2312" w:eastAsia="楷体_GB2312" w:cs="楷体_GB2312"/>
          <w:sz w:val="32"/>
          <w:szCs w:val="32"/>
        </w:rPr>
        <w:t>（二）车辆安全防护要求</w:t>
      </w:r>
      <w:bookmarkEnd w:id="51"/>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比赛场地内须配备车轮挡块、车内四件套、车外三件套，保证对比赛车辆的安全防护需要。</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车辆起动操作时，必须拉紧驻车制动，并将变速杆置于P或N档。</w:t>
      </w:r>
    </w:p>
    <w:p>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outlineLvl w:val="1"/>
        <w:rPr>
          <w:rFonts w:hint="eastAsia" w:ascii="楷体_GB2312" w:hAnsi="楷体_GB2312" w:eastAsia="楷体_GB2312" w:cs="楷体_GB2312"/>
          <w:sz w:val="32"/>
          <w:szCs w:val="32"/>
        </w:rPr>
      </w:pPr>
      <w:bookmarkStart w:id="52" w:name="_Toc24578_WPSOffice_Level2"/>
      <w:r>
        <w:rPr>
          <w:rFonts w:hint="eastAsia" w:ascii="楷体_GB2312" w:hAnsi="楷体_GB2312" w:eastAsia="楷体_GB2312" w:cs="楷体_GB2312"/>
          <w:sz w:val="32"/>
          <w:szCs w:val="32"/>
        </w:rPr>
        <w:t>（三）场地整洁保持要求</w:t>
      </w:r>
      <w:bookmarkEnd w:id="52"/>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比赛场地内必须配备垃圾分类回收箱，保证及时处理垃圾。</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比赛场地内必须配备扫帚、拖把、抹布、纸巾等，保证及时清除油污和垃圾。</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比赛场地应根据需要配备洗件盆、贮件盒、毛刷、毛巾等，并配备废油回收设备。</w:t>
      </w:r>
    </w:p>
    <w:p>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outlineLvl w:val="1"/>
        <w:rPr>
          <w:rFonts w:hint="eastAsia" w:ascii="楷体_GB2312" w:hAnsi="楷体_GB2312" w:eastAsia="楷体_GB2312" w:cs="楷体_GB2312"/>
          <w:sz w:val="32"/>
          <w:szCs w:val="32"/>
        </w:rPr>
      </w:pPr>
      <w:bookmarkStart w:id="53" w:name="_Toc22999_WPSOffice_Level2"/>
      <w:r>
        <w:rPr>
          <w:rFonts w:hint="eastAsia" w:ascii="楷体_GB2312" w:hAnsi="楷体_GB2312" w:eastAsia="楷体_GB2312" w:cs="楷体_GB2312"/>
          <w:sz w:val="32"/>
          <w:szCs w:val="32"/>
        </w:rPr>
        <w:t>（四）医疗设备和措施</w:t>
      </w:r>
      <w:bookmarkEnd w:id="53"/>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比赛场地内必须设立医疗救助点，至少配1名医生，准备必要的医疗器械。</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准备治疗感冒、发烧、腹泻等常见疾病的药品。</w:t>
      </w:r>
    </w:p>
    <w:p>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特别应准备好治疗因机械外伤的止血帖、酒精等。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LinTimes" w:hAnsi="LinTimes" w:eastAsia="黑体" w:cs="黑体"/>
          <w:sz w:val="32"/>
          <w:szCs w:val="32"/>
          <w:lang w:val="en-AU" w:eastAsia="zh-CN"/>
        </w:rPr>
      </w:pPr>
      <w:bookmarkStart w:id="54" w:name="_Toc13735_WPSOffice_Level1"/>
      <w:r>
        <w:rPr>
          <w:rFonts w:hint="eastAsia" w:ascii="LinTimes" w:hAnsi="LinTimes" w:eastAsia="黑体" w:cs="黑体"/>
          <w:sz w:val="32"/>
          <w:szCs w:val="32"/>
          <w:lang w:val="en-AU" w:eastAsia="zh-CN"/>
        </w:rPr>
        <w:t>六、开放赛场</w:t>
      </w:r>
      <w:bookmarkEnd w:id="54"/>
      <w:r>
        <w:rPr>
          <w:rFonts w:hint="eastAsia" w:ascii="LinTimes" w:hAnsi="LinTimes" w:eastAsia="黑体" w:cs="黑体"/>
          <w:sz w:val="32"/>
          <w:szCs w:val="32"/>
          <w:lang w:val="en-AU" w:eastAsia="zh-CN"/>
        </w:rPr>
        <w:t xml:space="preserve"> </w:t>
      </w:r>
    </w:p>
    <w:p>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（一）赛场内除指定裁判，工作人员外，其他与大赛无关人员经组委会同意或在组委会负责人陪同下，佩戴相关标志方可进入赛场。</w:t>
      </w:r>
      <w:r>
        <w:rPr>
          <w:rFonts w:ascii="仿宋" w:hAnsi="仿宋" w:eastAsia="仿宋" w:cs="仿宋"/>
          <w:color w:val="000000"/>
          <w:kern w:val="0"/>
          <w:sz w:val="32"/>
          <w:szCs w:val="32"/>
          <w:lang w:val="zh-CN"/>
        </w:rPr>
        <w:t xml:space="preserve"> </w:t>
      </w:r>
    </w:p>
    <w:p>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（二）对于赞助商和宣传要求，经组委会允许的赞助商和负责宣传的媒体记者，按竞赛规则要求进入场地相关区域。</w:t>
      </w:r>
    </w:p>
    <w:p>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（三）允许进入赛场的人员，不得在场内喧哗、吸烟；只可在规定区域观摩竞赛；应遵守赛场规则，不得与选手交谈，不得妨碍、干扰选手竞赛；不得有任何影响竞赛公平、公正的行为。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LinTimes" w:hAnsi="LinTimes" w:eastAsia="黑体" w:cs="黑体"/>
          <w:sz w:val="32"/>
          <w:szCs w:val="32"/>
          <w:lang w:val="zh-CN" w:eastAsia="zh-CN"/>
        </w:rPr>
      </w:pPr>
      <w:bookmarkStart w:id="55" w:name="_Toc27002_WPSOffice_Level1"/>
      <w:r>
        <w:rPr>
          <w:rFonts w:hint="eastAsia" w:ascii="LinTimes" w:hAnsi="LinTimes" w:eastAsia="黑体" w:cs="黑体"/>
          <w:sz w:val="32"/>
          <w:szCs w:val="32"/>
          <w:lang w:val="zh-CN" w:eastAsia="zh-CN"/>
        </w:rPr>
        <w:t>七、申诉与仲裁</w:t>
      </w:r>
      <w:bookmarkEnd w:id="55"/>
      <w:r>
        <w:rPr>
          <w:rFonts w:hint="eastAsia" w:ascii="LinTimes" w:hAnsi="LinTimes" w:eastAsia="黑体" w:cs="黑体"/>
          <w:sz w:val="32"/>
          <w:szCs w:val="32"/>
          <w:lang w:val="zh-CN" w:eastAsia="zh-CN"/>
        </w:rPr>
        <w:t xml:space="preserve"> </w:t>
      </w:r>
    </w:p>
    <w:p>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（一）参赛选手对不符合竞赛规定的设备、工具、软件，有失公正的评判，以及对工作人员等有违公平的行为可现场提出申诉。</w:t>
      </w:r>
      <w:r>
        <w:rPr>
          <w:rFonts w:ascii="仿宋" w:hAnsi="仿宋" w:eastAsia="仿宋" w:cs="仿宋"/>
          <w:color w:val="000000"/>
          <w:kern w:val="0"/>
          <w:sz w:val="32"/>
          <w:szCs w:val="32"/>
          <w:lang w:val="zh-CN"/>
        </w:rPr>
        <w:t xml:space="preserve"> </w:t>
      </w:r>
    </w:p>
    <w:p>
      <w:pPr>
        <w:autoSpaceDE w:val="0"/>
        <w:autoSpaceDN w:val="0"/>
        <w:adjustRightInd w:val="0"/>
        <w:spacing w:line="480" w:lineRule="exact"/>
        <w:ind w:firstLine="640" w:firstLineChars="200"/>
        <w:jc w:val="left"/>
        <w:rPr>
          <w:rFonts w:ascii="仿宋" w:hAnsi="仿宋" w:eastAsia="仿宋" w:cs="Times New Roman"/>
          <w:color w:val="000000"/>
          <w:kern w:val="0"/>
          <w:sz w:val="32"/>
          <w:szCs w:val="32"/>
          <w:lang w:val="zh-CN"/>
        </w:rPr>
      </w:pPr>
      <w:r>
        <w:rPr>
          <w:rFonts w:hint="eastAsia" w:ascii="仿宋" w:hAnsi="仿宋" w:eastAsia="仿宋" w:cs="仿宋"/>
          <w:color w:val="000000"/>
          <w:kern w:val="0"/>
          <w:sz w:val="32"/>
          <w:szCs w:val="32"/>
          <w:lang w:val="zh-CN"/>
        </w:rPr>
        <w:t>（二）申诉应在竞赛结束后</w:t>
      </w:r>
      <w:r>
        <w:rPr>
          <w:rFonts w:ascii="仿宋" w:hAnsi="仿宋" w:eastAsia="仿宋" w:cs="仿宋"/>
          <w:color w:val="000000"/>
          <w:kern w:val="0"/>
          <w:sz w:val="32"/>
          <w:szCs w:val="32"/>
          <w:lang w:val="zh-CN"/>
        </w:rPr>
        <w:t>2</w:t>
      </w:r>
      <w:r>
        <w:rPr>
          <w:rFonts w:hint="eastAsia" w:ascii="仿宋" w:hAnsi="仿宋" w:eastAsia="仿宋" w:cs="仿宋"/>
          <w:color w:val="000000"/>
          <w:kern w:val="0"/>
          <w:sz w:val="32"/>
          <w:szCs w:val="32"/>
          <w:lang w:val="zh-CN"/>
        </w:rPr>
        <w:t>小时内提出，超过时效将不予受理。申诉时，应按照规定的程序由参赛队领队向仲裁组递交书面申诉报告。报告应对申诉事件的现象、发生的时间、涉及到的人员、申诉依据与理由等进行充分、实事求是的叙述。事实依据不充分、仅凭主观臆断的申诉不予受理。申诉报告须有申诉的参赛选手、领队签名。</w:t>
      </w:r>
    </w:p>
    <w:p>
      <w:pPr>
        <w:autoSpaceDE w:val="0"/>
        <w:autoSpaceDN w:val="0"/>
        <w:adjustRightInd w:val="0"/>
        <w:spacing w:line="480" w:lineRule="exact"/>
        <w:ind w:firstLine="640" w:firstLineChars="200"/>
        <w:jc w:val="left"/>
        <w:rPr>
          <w:rFonts w:ascii="仿宋" w:hAnsi="仿宋" w:eastAsia="仿宋" w:cs="Times New Roman"/>
          <w:color w:val="000000"/>
          <w:kern w:val="0"/>
          <w:sz w:val="32"/>
          <w:szCs w:val="32"/>
          <w:lang w:val="zh-CN"/>
        </w:rPr>
      </w:pPr>
      <w:r>
        <w:rPr>
          <w:rFonts w:hint="eastAsia" w:ascii="仿宋" w:hAnsi="仿宋" w:eastAsia="仿宋" w:cs="仿宋"/>
          <w:sz w:val="32"/>
          <w:szCs w:val="32"/>
          <w:lang w:val="zh-CN"/>
        </w:rPr>
        <w:t>大赛仲裁组负责受理大赛中出现的申诉复议并进行仲裁，以保证竞赛顺利进行和竞赛结果公平、公正。仲裁组的裁决为最终裁决，参赛队不得因申诉或对仲裁处理意见不服而停止比赛或滋事，否则按弃权处理。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LinTimes" w:hAnsi="LinTimes" w:eastAsia="黑体" w:cs="黑体"/>
          <w:sz w:val="32"/>
          <w:szCs w:val="32"/>
          <w:lang w:val="zh-CN" w:eastAsia="zh-CN"/>
        </w:rPr>
      </w:pPr>
      <w:bookmarkStart w:id="56" w:name="_Toc20136_WPSOffice_Level1"/>
      <w:r>
        <w:rPr>
          <w:rFonts w:hint="eastAsia" w:ascii="LinTimes" w:hAnsi="LinTimes" w:eastAsia="黑体" w:cs="黑体"/>
          <w:sz w:val="32"/>
          <w:szCs w:val="32"/>
          <w:lang w:val="zh-CN" w:eastAsia="zh-CN"/>
        </w:rPr>
        <w:t>八、其他</w:t>
      </w:r>
      <w:bookmarkEnd w:id="56"/>
      <w:r>
        <w:rPr>
          <w:rFonts w:hint="eastAsia" w:ascii="LinTimes" w:hAnsi="LinTimes" w:eastAsia="黑体" w:cs="黑体"/>
          <w:sz w:val="32"/>
          <w:szCs w:val="32"/>
          <w:lang w:val="zh-CN" w:eastAsia="zh-CN"/>
        </w:rPr>
        <w:t xml:space="preserve"> </w:t>
      </w:r>
    </w:p>
    <w:p>
      <w:pPr>
        <w:spacing w:line="480" w:lineRule="exact"/>
        <w:ind w:firstLine="640" w:firstLineChars="200"/>
        <w:rPr>
          <w:rFonts w:ascii="仿宋" w:hAnsi="仿宋" w:eastAsia="仿宋" w:cs="Times New Roman"/>
          <w:sz w:val="32"/>
          <w:szCs w:val="32"/>
        </w:rPr>
      </w:pPr>
      <w:r>
        <w:rPr>
          <w:rFonts w:hint="eastAsia" w:ascii="仿宋" w:hAnsi="仿宋" w:eastAsia="仿宋" w:cs="仿宋"/>
          <w:color w:val="000000"/>
          <w:kern w:val="0"/>
          <w:sz w:val="32"/>
          <w:szCs w:val="32"/>
          <w:lang w:val="zh-CN"/>
        </w:rPr>
        <w:t>（一）本技术文件适用于</w:t>
      </w:r>
      <w:r>
        <w:rPr>
          <w:rFonts w:hint="eastAsia" w:ascii="仿宋" w:hAnsi="仿宋" w:eastAsia="仿宋" w:cs="仿宋"/>
          <w:sz w:val="32"/>
          <w:szCs w:val="32"/>
        </w:rPr>
        <w:t>第三届广西新能源汽车关键技术技能大赛</w:t>
      </w:r>
      <w:r>
        <w:rPr>
          <w:rFonts w:hint="eastAsia" w:ascii="仿宋" w:hAnsi="仿宋" w:eastAsia="仿宋" w:cs="仿宋"/>
          <w:sz w:val="32"/>
          <w:szCs w:val="32"/>
          <w:lang w:val="en-US" w:eastAsia="zh-CN"/>
        </w:rPr>
        <w:t>机动车检测工</w:t>
      </w:r>
      <w:r>
        <w:rPr>
          <w:rFonts w:hint="eastAsia" w:ascii="仿宋" w:hAnsi="仿宋" w:eastAsia="仿宋" w:cs="仿宋"/>
          <w:sz w:val="32"/>
          <w:szCs w:val="32"/>
        </w:rPr>
        <w:t>项目</w:t>
      </w:r>
      <w:r>
        <w:rPr>
          <w:rFonts w:hint="eastAsia" w:ascii="仿宋" w:hAnsi="仿宋" w:eastAsia="仿宋" w:cs="仿宋"/>
          <w:color w:val="000000"/>
          <w:kern w:val="0"/>
          <w:sz w:val="32"/>
          <w:szCs w:val="32"/>
          <w:lang w:val="zh-CN"/>
        </w:rPr>
        <w:t>。</w:t>
      </w:r>
    </w:p>
    <w:p>
      <w:pPr>
        <w:spacing w:line="480" w:lineRule="exact"/>
        <w:ind w:firstLine="640" w:firstLineChars="200"/>
        <w:rPr>
          <w:rFonts w:ascii="仿宋" w:hAnsi="仿宋" w:eastAsia="仿宋" w:cs="Times New Roman"/>
          <w:color w:val="FF00FF"/>
          <w:kern w:val="0"/>
          <w:sz w:val="32"/>
          <w:szCs w:val="32"/>
          <w:lang w:val="zh-CN"/>
        </w:rPr>
      </w:pPr>
      <w:r>
        <w:rPr>
          <w:rFonts w:hint="eastAsia" w:ascii="仿宋" w:hAnsi="仿宋" w:eastAsia="仿宋" w:cs="仿宋"/>
          <w:color w:val="000000"/>
          <w:kern w:val="0"/>
          <w:sz w:val="32"/>
          <w:szCs w:val="32"/>
          <w:lang w:val="zh-CN"/>
        </w:rPr>
        <w:t>（二）本技术文件最终解释权归</w:t>
      </w:r>
      <w:r>
        <w:rPr>
          <w:rFonts w:hint="eastAsia" w:ascii="仿宋" w:hAnsi="仿宋" w:eastAsia="仿宋" w:cs="仿宋"/>
          <w:sz w:val="32"/>
          <w:szCs w:val="32"/>
        </w:rPr>
        <w:t>第三届广西新能源汽车关键技术技能</w:t>
      </w:r>
      <w:r>
        <w:rPr>
          <w:rFonts w:hint="eastAsia" w:ascii="仿宋" w:hAnsi="仿宋" w:eastAsia="仿宋" w:cs="仿宋"/>
          <w:color w:val="000000"/>
          <w:kern w:val="0"/>
          <w:sz w:val="32"/>
          <w:szCs w:val="32"/>
          <w:lang w:val="zh-CN"/>
        </w:rPr>
        <w:t>大赛组委会所有。</w:t>
      </w:r>
    </w:p>
    <w:p>
      <w:pPr>
        <w:spacing w:line="228" w:lineRule="auto"/>
        <w:outlineLvl w:val="0"/>
        <w:rPr>
          <w:rFonts w:ascii="仿宋_GB2312" w:hAnsi="仿宋_GB2312" w:eastAsia="仿宋_GB2312" w:cs="仿宋_GB2312"/>
          <w:sz w:val="24"/>
          <w:szCs w:val="24"/>
        </w:rPr>
      </w:pPr>
      <w:r>
        <w:rPr>
          <w:rFonts w:ascii="LinTimes" w:hAnsi="LinTimes" w:eastAsia="仿宋_GB2312" w:cs="Times New Roman"/>
          <w:b/>
          <w:bCs/>
          <w:sz w:val="32"/>
          <w:szCs w:val="32"/>
        </w:rPr>
        <w:br w:type="page"/>
      </w:r>
      <w:r>
        <w:rPr>
          <w:rFonts w:hint="eastAsia" w:ascii="LinTimes" w:hAnsi="LinTimes" w:eastAsia="黑体" w:cs="黑体"/>
          <w:sz w:val="32"/>
          <w:szCs w:val="32"/>
          <w:lang w:val="zh-CN" w:eastAsia="zh-CN"/>
        </w:rPr>
        <w:t>附件：竞赛平台主要设备技术指标</w:t>
      </w:r>
    </w:p>
    <w:p>
      <w:pPr>
        <w:spacing w:before="319" w:beforeLines="100" w:line="288" w:lineRule="auto"/>
        <w:ind w:firstLine="480" w:firstLineChars="200"/>
        <w:rPr>
          <w:rFonts w:ascii="楷体_GB2312" w:hAnsi="楷体_GB2312" w:eastAsia="楷体_GB2312" w:cs="楷体_GB2312"/>
          <w:sz w:val="24"/>
          <w:szCs w:val="24"/>
        </w:rPr>
      </w:pPr>
      <w:bookmarkStart w:id="57" w:name="_Toc23001_WPSOffice_Level2"/>
      <w:r>
        <w:rPr>
          <w:rFonts w:hint="eastAsia" w:ascii="楷体_GB2312" w:hAnsi="楷体_GB2312" w:eastAsia="楷体_GB2312" w:cs="楷体_GB2312"/>
          <w:sz w:val="24"/>
          <w:szCs w:val="24"/>
        </w:rPr>
        <w:t>（一）智能网联汽车乘用车平台技术指标</w:t>
      </w:r>
      <w:bookmarkEnd w:id="57"/>
    </w:p>
    <w:p>
      <w:pPr>
        <w:spacing w:line="288" w:lineRule="auto"/>
        <w:ind w:firstLine="475" w:firstLineChars="198"/>
        <w:rPr>
          <w:rFonts w:ascii="仿宋_GB2312" w:hAnsi="仿宋_GB2312" w:eastAsia="仿宋_GB2312" w:cs="仿宋_GB2312"/>
          <w:sz w:val="24"/>
          <w:szCs w:val="24"/>
        </w:rPr>
      </w:pPr>
      <w:r>
        <w:rPr>
          <w:rFonts w:hint="eastAsia" w:ascii="仿宋_GB2312" w:hAnsi="仿宋_GB2312" w:eastAsia="仿宋_GB2312" w:cs="仿宋_GB2312"/>
          <w:sz w:val="24"/>
          <w:szCs w:val="24"/>
        </w:rPr>
        <w:t>1.纯电动乘用车</w:t>
      </w:r>
    </w:p>
    <w:p>
      <w:pPr>
        <w:spacing w:line="288"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纯电动汽车，三元锂电池，永磁同步电机，最高车速大于120km/h，续航里程大于400KM，平台具备独立网关，全车采用总线通讯，BMS具备过充、过放、仪表显示与读取等功能，具备ACC、AEB、全景环视等高级驾驶辅助功能，设有急停开关。</w:t>
      </w:r>
    </w:p>
    <w:p>
      <w:pPr>
        <w:spacing w:line="288"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车辆基本技术参数（见表</w:t>
      </w:r>
      <w:r>
        <w:rPr>
          <w:rFonts w:hint="eastAsia" w:ascii="仿宋_GB2312" w:hAnsi="仿宋_GB2312" w:eastAsia="仿宋_GB2312" w:cs="仿宋_GB2312"/>
          <w:sz w:val="24"/>
          <w:szCs w:val="24"/>
          <w:lang w:val="en-US" w:eastAsia="zh-CN"/>
        </w:rPr>
        <w:t>8</w:t>
      </w:r>
      <w:r>
        <w:rPr>
          <w:rFonts w:hint="eastAsia" w:ascii="仿宋_GB2312" w:hAnsi="仿宋_GB2312" w:eastAsia="仿宋_GB2312" w:cs="仿宋_GB2312"/>
          <w:sz w:val="24"/>
          <w:szCs w:val="24"/>
        </w:rPr>
        <w:t>）：</w:t>
      </w:r>
    </w:p>
    <w:p>
      <w:pPr>
        <w:spacing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表</w:t>
      </w:r>
      <w:r>
        <w:rPr>
          <w:rFonts w:hint="eastAsia" w:ascii="仿宋_GB2312" w:hAnsi="仿宋_GB2312" w:eastAsia="仿宋_GB2312" w:cs="仿宋_GB2312"/>
          <w:sz w:val="21"/>
          <w:szCs w:val="21"/>
          <w:lang w:val="en-US" w:eastAsia="zh-CN"/>
        </w:rPr>
        <w:t>8</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线控车辆技术参数</w:t>
      </w:r>
    </w:p>
    <w:tbl>
      <w:tblPr>
        <w:tblStyle w:val="18"/>
        <w:tblW w:w="54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84"/>
        <w:gridCol w:w="7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Align w:val="center"/>
          </w:tcPr>
          <w:p>
            <w:pPr>
              <w:spacing w:before="100" w:beforeAutospacing="1"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568" w:type="pct"/>
            <w:vAlign w:val="center"/>
          </w:tcPr>
          <w:p>
            <w:pPr>
              <w:spacing w:before="100" w:beforeAutospacing="1"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组成</w:t>
            </w:r>
          </w:p>
        </w:tc>
        <w:tc>
          <w:tcPr>
            <w:tcW w:w="3872" w:type="pct"/>
            <w:vAlign w:val="center"/>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8" w:type="pct"/>
            <w:vMerge w:val="restart"/>
            <w:vAlign w:val="center"/>
          </w:tcPr>
          <w:p>
            <w:pPr>
              <w:spacing w:before="100" w:beforeAutospacing="1"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568" w:type="pct"/>
            <w:vMerge w:val="restart"/>
            <w:vAlign w:val="center"/>
          </w:tcPr>
          <w:p>
            <w:pPr>
              <w:spacing w:before="100" w:beforeAutospacing="1"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整车</w:t>
            </w: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能源类型：纯电动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最大车速：≥120km/h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底盘结构：前麦弗逊独立悬架，后多连杆独立悬挂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车体结构：承载式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restart"/>
            <w:vAlign w:val="center"/>
          </w:tcPr>
          <w:p>
            <w:pPr>
              <w:spacing w:before="100" w:beforeAutospacing="1"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568" w:type="pct"/>
            <w:vMerge w:val="restart"/>
            <w:vAlign w:val="center"/>
          </w:tcPr>
          <w:p>
            <w:pPr>
              <w:spacing w:before="100" w:beforeAutospacing="1"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电池</w:t>
            </w: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三元锂电池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电池容量：≥50kwh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纯电续航里程：≥400km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快充时间：≤0.5h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电池温度管理系统：低温加热；液态冷却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restart"/>
            <w:vAlign w:val="center"/>
          </w:tcPr>
          <w:p>
            <w:pPr>
              <w:spacing w:before="100" w:beforeAutospacing="1"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568" w:type="pct"/>
            <w:vMerge w:val="restart"/>
            <w:vAlign w:val="center"/>
          </w:tcPr>
          <w:p>
            <w:pPr>
              <w:spacing w:before="100" w:beforeAutospacing="1"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车轮制动</w:t>
            </w: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前制动器类型：通风盘式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后制动器类型：实心盘式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驻车制动类型：电子驻车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电机布局：后置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电机类型：永磁同步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电动机总功率：≥180KW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电动机总马力：≥200Ps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电动机总扭矩：≥300N·m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558" w:type="pct"/>
            <w:vMerge w:val="restart"/>
            <w:vAlign w:val="center"/>
          </w:tcPr>
          <w:p>
            <w:pPr>
              <w:spacing w:before="100" w:beforeAutospacing="1"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6</w:t>
            </w:r>
          </w:p>
        </w:tc>
        <w:tc>
          <w:tcPr>
            <w:tcW w:w="568" w:type="pct"/>
            <w:vMerge w:val="restart"/>
            <w:vAlign w:val="center"/>
          </w:tcPr>
          <w:p>
            <w:pPr>
              <w:spacing w:before="100" w:beforeAutospacing="1"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底盘</w:t>
            </w: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 xml:space="preserve">底盘 ：车规级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通讯方式：CAN 通讯，底盘通讯方式已重构，方便外部控制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前悬挂：麦弗逊式独立悬挂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后悬挂：多连杆式独立悬挂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转向类型：电动助力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restart"/>
            <w:vAlign w:val="center"/>
          </w:tcPr>
          <w:p>
            <w:pPr>
              <w:spacing w:before="100" w:beforeAutospacing="1"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7</w:t>
            </w:r>
          </w:p>
        </w:tc>
        <w:tc>
          <w:tcPr>
            <w:tcW w:w="568" w:type="pct"/>
            <w:vMerge w:val="restart"/>
            <w:vAlign w:val="center"/>
          </w:tcPr>
          <w:p>
            <w:pPr>
              <w:spacing w:before="100" w:beforeAutospacing="1"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主动安全</w:t>
            </w: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ABS防抱死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制动力分配(EBD/CBC等)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刹车辅助(EBA/BA等)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牵引力控制(TCS/ASR等)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车身稳定系统(ESP/DSC等)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568" w:type="pct"/>
            <w:vMerge w:val="continue"/>
            <w:vAlign w:val="center"/>
          </w:tcPr>
          <w:p>
            <w:pPr>
              <w:spacing w:before="100" w:beforeAutospacing="1" w:line="288" w:lineRule="auto"/>
              <w:jc w:val="center"/>
              <w:rPr>
                <w:rFonts w:ascii="仿宋_GB2312" w:hAnsi="仿宋_GB2312" w:eastAsia="仿宋_GB2312" w:cs="仿宋_GB2312"/>
                <w:sz w:val="21"/>
                <w:szCs w:val="21"/>
              </w:rPr>
            </w:pPr>
          </w:p>
        </w:tc>
        <w:tc>
          <w:tcPr>
            <w:tcW w:w="3872" w:type="pct"/>
          </w:tcPr>
          <w:p>
            <w:pPr>
              <w:spacing w:before="100" w:beforeAutospacing="1"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主动安全预警系统:车道偏离预警、前方碰撞预警、后方碰撞预警、倒车车侧预警、DOW开门预警</w:t>
            </w:r>
          </w:p>
        </w:tc>
      </w:tr>
    </w:tbl>
    <w:p>
      <w:pPr>
        <w:spacing w:line="288" w:lineRule="auto"/>
        <w:ind w:firstLine="475" w:firstLineChars="198"/>
        <w:rPr>
          <w:rFonts w:ascii="仿宋_GB2312" w:hAnsi="仿宋_GB2312" w:eastAsia="仿宋_GB2312" w:cs="仿宋_GB2312"/>
          <w:sz w:val="24"/>
          <w:szCs w:val="24"/>
        </w:rPr>
      </w:pPr>
      <w:r>
        <w:rPr>
          <w:rFonts w:hint="eastAsia" w:ascii="仿宋_GB2312" w:hAnsi="仿宋_GB2312" w:eastAsia="仿宋_GB2312" w:cs="仿宋_GB2312"/>
          <w:sz w:val="24"/>
          <w:szCs w:val="24"/>
        </w:rPr>
        <w:t>2.自动驾驶系统</w:t>
      </w:r>
    </w:p>
    <w:p>
      <w:pPr>
        <w:spacing w:line="288" w:lineRule="auto"/>
        <w:ind w:firstLine="475" w:firstLineChars="198"/>
        <w:rPr>
          <w:rFonts w:ascii="仿宋_GB2312" w:hAnsi="仿宋_GB2312" w:eastAsia="仿宋_GB2312" w:cs="仿宋_GB2312"/>
          <w:sz w:val="24"/>
          <w:szCs w:val="24"/>
        </w:rPr>
      </w:pPr>
      <w:r>
        <w:rPr>
          <w:rFonts w:hint="eastAsia" w:ascii="仿宋_GB2312" w:hAnsi="仿宋_GB2312" w:eastAsia="仿宋_GB2312" w:cs="仿宋_GB2312"/>
          <w:sz w:val="24"/>
          <w:szCs w:val="24"/>
        </w:rPr>
        <w:t>自动驾驶系统电子元部件符合车规级要求，系统配置集成式UI界面实现核心模块的运行、关闭和切换，实现常规道路自动驾驶，主要包括：</w:t>
      </w:r>
    </w:p>
    <w:p>
      <w:pPr>
        <w:spacing w:line="288" w:lineRule="auto"/>
        <w:ind w:firstLine="475" w:firstLineChars="198"/>
        <w:rPr>
          <w:rFonts w:ascii="仿宋_GB2312" w:hAnsi="仿宋_GB2312" w:eastAsia="仿宋_GB2312" w:cs="仿宋_GB2312"/>
          <w:sz w:val="24"/>
          <w:szCs w:val="24"/>
        </w:rPr>
      </w:pPr>
      <w:r>
        <w:rPr>
          <w:rFonts w:hint="eastAsia" w:ascii="仿宋_GB2312" w:hAnsi="仿宋_GB2312" w:eastAsia="仿宋_GB2312" w:cs="仿宋_GB2312"/>
          <w:sz w:val="24"/>
          <w:szCs w:val="24"/>
        </w:rPr>
        <w:t>（1）智能停避障:车辆可实现对行驶区域内部及周边的动静态障碍物的检测，可实现车辆的停障，并支持设置车辆安全停障距离。</w:t>
      </w:r>
    </w:p>
    <w:p>
      <w:pPr>
        <w:spacing w:line="288" w:lineRule="auto"/>
        <w:ind w:firstLine="475" w:firstLineChars="198"/>
        <w:rPr>
          <w:rFonts w:ascii="仿宋_GB2312" w:hAnsi="仿宋_GB2312" w:eastAsia="仿宋_GB2312" w:cs="仿宋_GB2312"/>
          <w:sz w:val="24"/>
          <w:szCs w:val="24"/>
        </w:rPr>
      </w:pPr>
      <w:r>
        <w:rPr>
          <w:rFonts w:hint="eastAsia" w:ascii="仿宋_GB2312" w:hAnsi="仿宋_GB2312" w:eastAsia="仿宋_GB2312" w:cs="仿宋_GB2312"/>
          <w:sz w:val="24"/>
          <w:szCs w:val="24"/>
        </w:rPr>
        <w:t>（2）车道线检测及保持：支持进行摄像头的标定及车道线识别参数调节，可实现基于神经网络的车道线检测，并通过算法控制车辆沿车道线行驶。</w:t>
      </w:r>
    </w:p>
    <w:p>
      <w:pPr>
        <w:spacing w:line="288" w:lineRule="auto"/>
        <w:ind w:firstLine="475" w:firstLineChars="198"/>
        <w:rPr>
          <w:rFonts w:ascii="仿宋_GB2312" w:hAnsi="仿宋_GB2312" w:eastAsia="仿宋_GB2312" w:cs="仿宋_GB2312"/>
          <w:sz w:val="24"/>
          <w:szCs w:val="24"/>
        </w:rPr>
      </w:pPr>
      <w:r>
        <w:rPr>
          <w:rFonts w:hint="eastAsia" w:ascii="仿宋_GB2312" w:hAnsi="仿宋_GB2312" w:eastAsia="仿宋_GB2312" w:cs="仿宋_GB2312"/>
          <w:sz w:val="24"/>
          <w:szCs w:val="24"/>
        </w:rPr>
        <w:t>（3）地图录制、拼接和编辑：可驾驶车辆并使用组合导航系统对地图信息进行采集，可对录制的分段地图进行拼接处理，生成标准opendrive地图，可对拼接后地图文件进行复杂道路属性编辑，包括车道编辑、路口和转盘生成、自动连接和平滑、路网生成等操作。</w:t>
      </w:r>
    </w:p>
    <w:p>
      <w:pPr>
        <w:spacing w:line="288" w:lineRule="auto"/>
        <w:ind w:firstLine="475" w:firstLineChars="198"/>
        <w:rPr>
          <w:rFonts w:ascii="仿宋_GB2312" w:hAnsi="仿宋_GB2312" w:eastAsia="仿宋_GB2312" w:cs="仿宋_GB2312"/>
          <w:sz w:val="24"/>
          <w:szCs w:val="24"/>
        </w:rPr>
      </w:pPr>
      <w:r>
        <w:rPr>
          <w:rFonts w:hint="eastAsia" w:ascii="仿宋_GB2312" w:hAnsi="仿宋_GB2312" w:eastAsia="仿宋_GB2312" w:cs="仿宋_GB2312"/>
          <w:sz w:val="24"/>
          <w:szCs w:val="24"/>
        </w:rPr>
        <w:t>（4）红绿灯识别：可视觉识别红绿灯信息并控制车辆按交通规则行驶。</w:t>
      </w:r>
    </w:p>
    <w:p>
      <w:pPr>
        <w:spacing w:line="288" w:lineRule="auto"/>
        <w:ind w:firstLine="475" w:firstLineChars="198"/>
        <w:rPr>
          <w:rFonts w:ascii="仿宋_GB2312" w:hAnsi="仿宋_GB2312" w:eastAsia="仿宋_GB2312" w:cs="仿宋_GB2312"/>
          <w:sz w:val="24"/>
          <w:szCs w:val="24"/>
        </w:rPr>
      </w:pPr>
      <w:r>
        <w:rPr>
          <w:rFonts w:hint="eastAsia" w:ascii="仿宋_GB2312" w:hAnsi="仿宋_GB2312" w:eastAsia="仿宋_GB2312" w:cs="仿宋_GB2312"/>
          <w:sz w:val="24"/>
          <w:szCs w:val="24"/>
        </w:rPr>
        <w:t>（5）激光雷达的标定：具备基于组合导航数据，对激光雷达的俯仰、横滚和航向角进行标定的功能。</w:t>
      </w:r>
    </w:p>
    <w:p>
      <w:pPr>
        <w:spacing w:line="288" w:lineRule="auto"/>
        <w:ind w:firstLine="475" w:firstLineChars="198"/>
        <w:rPr>
          <w:rFonts w:ascii="仿宋_GB2312" w:hAnsi="仿宋_GB2312" w:eastAsia="仿宋_GB2312" w:cs="仿宋_GB2312"/>
          <w:sz w:val="24"/>
          <w:szCs w:val="24"/>
        </w:rPr>
      </w:pPr>
      <w:r>
        <w:rPr>
          <w:rFonts w:hint="eastAsia" w:ascii="仿宋_GB2312" w:hAnsi="仿宋_GB2312" w:eastAsia="仿宋_GB2312" w:cs="仿宋_GB2312"/>
          <w:sz w:val="24"/>
          <w:szCs w:val="24"/>
        </w:rPr>
        <w:t>（6）传感器的联合标定：具备激光雷达、毫米波雷达与摄像头的联合标定功能，实现多模态数据融合和可视化。</w:t>
      </w:r>
    </w:p>
    <w:p>
      <w:pPr>
        <w:spacing w:line="288" w:lineRule="auto"/>
        <w:ind w:firstLine="475" w:firstLineChars="198"/>
        <w:rPr>
          <w:rFonts w:ascii="仿宋_GB2312" w:hAnsi="仿宋_GB2312" w:eastAsia="仿宋_GB2312" w:cs="仿宋_GB2312"/>
          <w:sz w:val="24"/>
          <w:szCs w:val="24"/>
        </w:rPr>
      </w:pPr>
      <w:r>
        <w:rPr>
          <w:rFonts w:hint="eastAsia" w:ascii="仿宋_GB2312" w:hAnsi="仿宋_GB2312" w:eastAsia="仿宋_GB2312" w:cs="仿宋_GB2312"/>
          <w:sz w:val="24"/>
          <w:szCs w:val="24"/>
        </w:rPr>
        <w:t>（7）360环视：具备360环视标定功能。</w:t>
      </w:r>
    </w:p>
    <w:p>
      <w:pPr>
        <w:spacing w:line="288" w:lineRule="auto"/>
        <w:ind w:firstLine="475" w:firstLineChars="198"/>
        <w:rPr>
          <w:rFonts w:ascii="仿宋_GB2312" w:hAnsi="仿宋_GB2312" w:eastAsia="仿宋_GB2312" w:cs="仿宋_GB2312"/>
          <w:sz w:val="24"/>
          <w:szCs w:val="24"/>
        </w:rPr>
      </w:pPr>
      <w:r>
        <w:rPr>
          <w:rFonts w:hint="eastAsia" w:ascii="仿宋_GB2312" w:hAnsi="仿宋_GB2312" w:eastAsia="仿宋_GB2312" w:cs="仿宋_GB2312"/>
          <w:sz w:val="24"/>
          <w:szCs w:val="24"/>
        </w:rPr>
        <w:t>(8)模式切换:支持人工模式和自动驾驶模式的自由切换。</w:t>
      </w:r>
    </w:p>
    <w:p>
      <w:pPr>
        <w:spacing w:line="288" w:lineRule="auto"/>
        <w:ind w:firstLine="475" w:firstLineChars="198"/>
        <w:rPr>
          <w:rFonts w:ascii="仿宋_GB2312" w:hAnsi="仿宋_GB2312" w:eastAsia="仿宋_GB2312" w:cs="仿宋_GB2312"/>
          <w:sz w:val="24"/>
          <w:szCs w:val="24"/>
        </w:rPr>
      </w:pPr>
      <w:r>
        <w:rPr>
          <w:rFonts w:hint="eastAsia" w:ascii="仿宋_GB2312" w:hAnsi="仿宋_GB2312" w:eastAsia="仿宋_GB2312" w:cs="仿宋_GB2312"/>
          <w:sz w:val="24"/>
          <w:szCs w:val="24"/>
        </w:rPr>
        <w:t>(9)OTA升级：系统具备OTA（Over-the-Air）升级功能。</w:t>
      </w:r>
    </w:p>
    <w:p>
      <w:pPr>
        <w:spacing w:line="288" w:lineRule="auto"/>
        <w:ind w:firstLine="475" w:firstLineChars="198"/>
        <w:rPr>
          <w:rFonts w:ascii="仿宋_GB2312" w:hAnsi="仿宋_GB2312" w:eastAsia="仿宋_GB2312" w:cs="仿宋_GB2312"/>
          <w:sz w:val="24"/>
          <w:szCs w:val="24"/>
        </w:rPr>
      </w:pPr>
      <w:r>
        <w:rPr>
          <w:rFonts w:hint="eastAsia" w:ascii="仿宋_GB2312" w:hAnsi="仿宋_GB2312" w:eastAsia="仿宋_GB2312" w:cs="仿宋_GB2312"/>
          <w:sz w:val="24"/>
          <w:szCs w:val="24"/>
        </w:rPr>
        <w:t>（10）底盘CAN数据读取、解析与控制：提供车辆控制逻辑，具备进行车辆底盘CAN（Controller Area Network）数据的读取、解析与控制功能。</w:t>
      </w:r>
    </w:p>
    <w:p>
      <w:pPr>
        <w:spacing w:line="288"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自动驾驶系统技术参数，所选设备应至少满足以下指标：</w:t>
      </w:r>
    </w:p>
    <w:p>
      <w:pPr>
        <w:numPr>
          <w:ilvl w:val="0"/>
          <w:numId w:val="4"/>
        </w:numPr>
        <w:spacing w:line="288" w:lineRule="auto"/>
        <w:ind w:left="839"/>
        <w:rPr>
          <w:rFonts w:ascii="仿宋_GB2312" w:hAnsi="仿宋_GB2312" w:eastAsia="仿宋_GB2312" w:cs="仿宋_GB2312"/>
          <w:sz w:val="24"/>
          <w:szCs w:val="24"/>
        </w:rPr>
      </w:pPr>
      <w:r>
        <w:rPr>
          <w:rFonts w:hint="eastAsia" w:ascii="仿宋_GB2312" w:hAnsi="仿宋_GB2312" w:eastAsia="仿宋_GB2312" w:cs="仿宋_GB2312"/>
          <w:sz w:val="24"/>
          <w:szCs w:val="24"/>
        </w:rPr>
        <w:t>激光雷达</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通道数：32通道</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测距方式：脉冲式</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激光波段：905nm</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激光等级：Class 1</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测量范围：100m-200m</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测距精度：±3cm</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单回波/双回波数据速率：65万点/秒（130万点/秒）</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视场角：-16°-15°（垂直）、360°（水平）</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垂直角度分辨率：均匀1°</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水平角度分辨率：5Hz:0.09°、10Hz:0.18°、20Hz:0.36°</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扫描帧频：5Hz、10Hz、20Hz</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储存温度：-20℃-85℃</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操作温度：-20℃-60℃（A型）</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通信接口：Etherent，PPS</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重量：1600g</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工作电压：9-36VDC</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振动：5Hz-2000Hz，3G rms</w:t>
      </w:r>
    </w:p>
    <w:p>
      <w:pPr>
        <w:numPr>
          <w:ilvl w:val="0"/>
          <w:numId w:val="5"/>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防护等级：IP67</w:t>
      </w:r>
    </w:p>
    <w:p>
      <w:pPr>
        <w:numPr>
          <w:ilvl w:val="0"/>
          <w:numId w:val="5"/>
        </w:numPr>
        <w:spacing w:after="120"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设备尺寸：φ120mmX110mm</w:t>
      </w:r>
    </w:p>
    <w:p>
      <w:pPr>
        <w:numPr>
          <w:ilvl w:val="0"/>
          <w:numId w:val="4"/>
        </w:numPr>
        <w:spacing w:line="288" w:lineRule="auto"/>
        <w:ind w:left="839"/>
        <w:rPr>
          <w:rFonts w:ascii="仿宋_GB2312" w:hAnsi="仿宋_GB2312" w:eastAsia="仿宋_GB2312" w:cs="仿宋_GB2312"/>
          <w:sz w:val="24"/>
          <w:szCs w:val="24"/>
        </w:rPr>
      </w:pPr>
      <w:r>
        <w:rPr>
          <w:rFonts w:hint="eastAsia" w:ascii="仿宋_GB2312" w:hAnsi="仿宋_GB2312" w:eastAsia="仿宋_GB2312" w:cs="仿宋_GB2312"/>
          <w:sz w:val="24"/>
          <w:szCs w:val="24"/>
        </w:rPr>
        <w:t>毫米波雷达</w:t>
      </w:r>
    </w:p>
    <w:p>
      <w:pPr>
        <w:numPr>
          <w:ilvl w:val="0"/>
          <w:numId w:val="6"/>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频率：76 GHz</w:t>
      </w:r>
    </w:p>
    <w:p>
      <w:pPr>
        <w:numPr>
          <w:ilvl w:val="0"/>
          <w:numId w:val="6"/>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更新率：50 msec</w:t>
      </w:r>
    </w:p>
    <w:p>
      <w:pPr>
        <w:numPr>
          <w:ilvl w:val="0"/>
          <w:numId w:val="6"/>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最大探测距离：100m(0 dBsm)</w:t>
      </w:r>
    </w:p>
    <w:p>
      <w:pPr>
        <w:numPr>
          <w:ilvl w:val="0"/>
          <w:numId w:val="6"/>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距离：1-175 m</w:t>
      </w:r>
    </w:p>
    <w:p>
      <w:pPr>
        <w:numPr>
          <w:ilvl w:val="0"/>
          <w:numId w:val="6"/>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速度：-100～+25 m/s</w:t>
      </w:r>
    </w:p>
    <w:p>
      <w:pPr>
        <w:numPr>
          <w:ilvl w:val="0"/>
          <w:numId w:val="6"/>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方位角：± 10°</w:t>
      </w:r>
    </w:p>
    <w:p>
      <w:pPr>
        <w:numPr>
          <w:ilvl w:val="0"/>
          <w:numId w:val="6"/>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波束宽度 (On Boresight)：</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3.5° Az</w:t>
      </w:r>
    </w:p>
    <w:p>
      <w:pPr>
        <w:numPr>
          <w:ilvl w:val="0"/>
          <w:numId w:val="6"/>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输入电压：DC 8-16V </w:t>
      </w:r>
    </w:p>
    <w:p>
      <w:pPr>
        <w:numPr>
          <w:ilvl w:val="0"/>
          <w:numId w:val="6"/>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消耗功率：&lt; 10W</w:t>
      </w:r>
    </w:p>
    <w:p>
      <w:pPr>
        <w:numPr>
          <w:ilvl w:val="0"/>
          <w:numId w:val="6"/>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联接头类型：USCAR 064-S-018-2-Z01</w:t>
      </w:r>
    </w:p>
    <w:p>
      <w:pPr>
        <w:numPr>
          <w:ilvl w:val="0"/>
          <w:numId w:val="6"/>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发射功率：10 dBm</w:t>
      </w:r>
    </w:p>
    <w:p>
      <w:pPr>
        <w:numPr>
          <w:ilvl w:val="0"/>
          <w:numId w:val="6"/>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工作温度：-40°C—85°C</w:t>
      </w:r>
    </w:p>
    <w:p>
      <w:pPr>
        <w:numPr>
          <w:ilvl w:val="0"/>
          <w:numId w:val="4"/>
        </w:numPr>
        <w:spacing w:line="288" w:lineRule="auto"/>
        <w:ind w:left="839"/>
        <w:rPr>
          <w:rFonts w:ascii="仿宋_GB2312" w:hAnsi="仿宋_GB2312" w:eastAsia="仿宋_GB2312" w:cs="仿宋_GB2312"/>
          <w:sz w:val="24"/>
          <w:szCs w:val="24"/>
        </w:rPr>
      </w:pPr>
      <w:r>
        <w:rPr>
          <w:rFonts w:hint="eastAsia" w:ascii="仿宋_GB2312" w:hAnsi="仿宋_GB2312" w:eastAsia="仿宋_GB2312" w:cs="仿宋_GB2312"/>
          <w:sz w:val="24"/>
          <w:szCs w:val="24"/>
        </w:rPr>
        <w:t>超声波雷达</w:t>
      </w:r>
    </w:p>
    <w:p>
      <w:pPr>
        <w:tabs>
          <w:tab w:val="left" w:pos="354"/>
        </w:tabs>
        <w:spacing w:before="3" w:line="288" w:lineRule="auto"/>
        <w:ind w:left="112"/>
        <w:rPr>
          <w:rFonts w:ascii="仿宋_GB2312" w:hAnsi="仿宋_GB2312" w:eastAsia="仿宋_GB2312" w:cs="仿宋_GB2312"/>
          <w:sz w:val="24"/>
          <w:szCs w:val="24"/>
        </w:rPr>
      </w:pPr>
      <w:r>
        <w:rPr>
          <w:rFonts w:hint="eastAsia" w:ascii="仿宋_GB2312" w:hAnsi="仿宋_GB2312" w:eastAsia="仿宋_GB2312" w:cs="仿宋_GB2312"/>
          <w:sz w:val="24"/>
          <w:szCs w:val="24"/>
        </w:rPr>
        <w:t>（1）工作电压：DC 12V</w:t>
      </w:r>
    </w:p>
    <w:p>
      <w:pPr>
        <w:tabs>
          <w:tab w:val="left" w:pos="354"/>
        </w:tabs>
        <w:spacing w:before="3" w:line="288" w:lineRule="auto"/>
        <w:ind w:left="112"/>
        <w:rPr>
          <w:rFonts w:ascii="仿宋_GB2312" w:hAnsi="仿宋_GB2312" w:eastAsia="仿宋_GB2312" w:cs="仿宋_GB2312"/>
          <w:sz w:val="24"/>
          <w:szCs w:val="24"/>
        </w:rPr>
      </w:pPr>
      <w:r>
        <w:rPr>
          <w:rFonts w:hint="eastAsia" w:ascii="仿宋_GB2312" w:hAnsi="仿宋_GB2312" w:eastAsia="仿宋_GB2312" w:cs="仿宋_GB2312"/>
          <w:sz w:val="24"/>
          <w:szCs w:val="24"/>
        </w:rPr>
        <w:t>（2）工作频率：48KHz（左右）、58KHz（前后）</w:t>
      </w:r>
    </w:p>
    <w:p>
      <w:pPr>
        <w:tabs>
          <w:tab w:val="left" w:pos="354"/>
        </w:tabs>
        <w:spacing w:before="3" w:line="288" w:lineRule="auto"/>
        <w:ind w:left="112"/>
        <w:rPr>
          <w:rFonts w:ascii="仿宋_GB2312" w:hAnsi="仿宋_GB2312" w:eastAsia="仿宋_GB2312" w:cs="仿宋_GB2312"/>
          <w:sz w:val="24"/>
          <w:szCs w:val="24"/>
        </w:rPr>
      </w:pPr>
      <w:r>
        <w:rPr>
          <w:rFonts w:hint="eastAsia" w:ascii="仿宋_GB2312" w:hAnsi="仿宋_GB2312" w:eastAsia="仿宋_GB2312" w:cs="仿宋_GB2312"/>
          <w:sz w:val="24"/>
          <w:szCs w:val="24"/>
        </w:rPr>
        <w:t>（3）探测距离：30cm-350cm</w:t>
      </w:r>
    </w:p>
    <w:p>
      <w:pPr>
        <w:tabs>
          <w:tab w:val="left" w:pos="354"/>
        </w:tabs>
        <w:spacing w:before="3" w:line="288" w:lineRule="auto"/>
        <w:ind w:left="112"/>
        <w:rPr>
          <w:rFonts w:ascii="仿宋_GB2312" w:hAnsi="仿宋_GB2312" w:eastAsia="仿宋_GB2312" w:cs="仿宋_GB2312"/>
          <w:sz w:val="24"/>
          <w:szCs w:val="24"/>
        </w:rPr>
      </w:pPr>
      <w:r>
        <w:rPr>
          <w:rFonts w:hint="eastAsia" w:ascii="仿宋_GB2312" w:hAnsi="仿宋_GB2312" w:eastAsia="仿宋_GB2312" w:cs="仿宋_GB2312"/>
          <w:sz w:val="24"/>
          <w:szCs w:val="24"/>
        </w:rPr>
        <w:t>（4）水平探测角度：90±10°</w:t>
      </w:r>
    </w:p>
    <w:p>
      <w:pPr>
        <w:tabs>
          <w:tab w:val="left" w:pos="354"/>
        </w:tabs>
        <w:spacing w:before="3" w:line="288" w:lineRule="auto"/>
        <w:ind w:left="112"/>
        <w:rPr>
          <w:rFonts w:ascii="仿宋_GB2312" w:hAnsi="仿宋_GB2312" w:eastAsia="仿宋_GB2312" w:cs="仿宋_GB2312"/>
          <w:sz w:val="24"/>
          <w:szCs w:val="24"/>
        </w:rPr>
      </w:pPr>
      <w:r>
        <w:rPr>
          <w:rFonts w:hint="eastAsia" w:ascii="仿宋_GB2312" w:hAnsi="仿宋_GB2312" w:eastAsia="仿宋_GB2312" w:cs="仿宋_GB2312"/>
          <w:sz w:val="24"/>
          <w:szCs w:val="24"/>
        </w:rPr>
        <w:t>（5）垂直探测角度：45±5°</w:t>
      </w:r>
    </w:p>
    <w:p>
      <w:pPr>
        <w:tabs>
          <w:tab w:val="left" w:pos="354"/>
        </w:tabs>
        <w:spacing w:before="3" w:line="288" w:lineRule="auto"/>
        <w:ind w:left="112"/>
        <w:rPr>
          <w:rFonts w:ascii="仿宋_GB2312" w:hAnsi="仿宋_GB2312" w:eastAsia="仿宋_GB2312" w:cs="仿宋_GB2312"/>
          <w:sz w:val="24"/>
          <w:szCs w:val="24"/>
        </w:rPr>
      </w:pPr>
      <w:r>
        <w:rPr>
          <w:rFonts w:hint="eastAsia" w:ascii="仿宋_GB2312" w:hAnsi="仿宋_GB2312" w:eastAsia="仿宋_GB2312" w:cs="仿宋_GB2312"/>
          <w:sz w:val="24"/>
          <w:szCs w:val="24"/>
        </w:rPr>
        <w:t>（6）工作温度：-40-85℃</w:t>
      </w:r>
    </w:p>
    <w:p>
      <w:pPr>
        <w:tabs>
          <w:tab w:val="left" w:pos="354"/>
        </w:tabs>
        <w:spacing w:before="3" w:line="288" w:lineRule="auto"/>
        <w:ind w:left="112"/>
        <w:rPr>
          <w:rFonts w:ascii="仿宋_GB2312" w:hAnsi="仿宋_GB2312" w:eastAsia="仿宋_GB2312" w:cs="仿宋_GB2312"/>
          <w:sz w:val="24"/>
          <w:szCs w:val="24"/>
        </w:rPr>
      </w:pPr>
      <w:r>
        <w:rPr>
          <w:rFonts w:hint="eastAsia" w:ascii="仿宋_GB2312" w:hAnsi="仿宋_GB2312" w:eastAsia="仿宋_GB2312" w:cs="仿宋_GB2312"/>
          <w:sz w:val="24"/>
          <w:szCs w:val="24"/>
        </w:rPr>
        <w:t>（7）防护等级：IP67</w:t>
      </w:r>
    </w:p>
    <w:p>
      <w:pPr>
        <w:tabs>
          <w:tab w:val="left" w:pos="354"/>
        </w:tabs>
        <w:spacing w:before="3" w:line="288" w:lineRule="auto"/>
        <w:ind w:left="112"/>
        <w:rPr>
          <w:rFonts w:ascii="仿宋_GB2312" w:hAnsi="仿宋_GB2312" w:eastAsia="仿宋_GB2312" w:cs="仿宋_GB2312"/>
          <w:sz w:val="24"/>
          <w:szCs w:val="24"/>
        </w:rPr>
      </w:pPr>
      <w:r>
        <w:rPr>
          <w:rFonts w:hint="eastAsia" w:ascii="仿宋_GB2312" w:hAnsi="仿宋_GB2312" w:eastAsia="仿宋_GB2312" w:cs="仿宋_GB2312"/>
          <w:sz w:val="24"/>
          <w:szCs w:val="24"/>
        </w:rPr>
        <w:t>（8）通信接口：CAN</w:t>
      </w:r>
    </w:p>
    <w:p>
      <w:pPr>
        <w:numPr>
          <w:ilvl w:val="0"/>
          <w:numId w:val="4"/>
        </w:numPr>
        <w:spacing w:line="288" w:lineRule="auto"/>
        <w:ind w:left="839"/>
        <w:rPr>
          <w:rFonts w:ascii="仿宋_GB2312" w:hAnsi="仿宋_GB2312" w:eastAsia="仿宋_GB2312" w:cs="仿宋_GB2312"/>
          <w:sz w:val="24"/>
          <w:szCs w:val="24"/>
        </w:rPr>
      </w:pPr>
      <w:r>
        <w:rPr>
          <w:rFonts w:hint="eastAsia" w:ascii="仿宋_GB2312" w:hAnsi="仿宋_GB2312" w:eastAsia="仿宋_GB2312" w:cs="仿宋_GB2312"/>
          <w:sz w:val="24"/>
          <w:szCs w:val="24"/>
        </w:rPr>
        <w:t>组合导航</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姿态精度：0.1°（基线长度≥2m）</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定位精度：单点L1/L2：1.2m</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DGPS：0.4m</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RTK：1cm+1ppm</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数据更新率：100Hz</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初始化时间：1min</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陀螺类型：MEMS</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陀螺量程：±400 </w:t>
      </w:r>
      <w:r>
        <w:rPr>
          <w:rFonts w:ascii="仿宋_GB2312" w:hAnsi="仿宋_GB2312" w:eastAsia="仿宋_GB2312" w:cs="仿宋_GB2312"/>
          <w:sz w:val="24"/>
          <w:szCs w:val="24"/>
        </w:rPr>
        <w:t>º</w:t>
      </w:r>
      <w:r>
        <w:rPr>
          <w:rFonts w:hint="eastAsia" w:ascii="仿宋_GB2312" w:hAnsi="仿宋_GB2312" w:eastAsia="仿宋_GB2312" w:cs="仿宋_GB2312"/>
          <w:sz w:val="24"/>
          <w:szCs w:val="24"/>
        </w:rPr>
        <w:t>/s</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陀螺零偏稳定性：6°/h</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加速度计量程：±8g</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加速度计零偏稳定性：0.02mg</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外部接口：3×RS232  1×RS422  1×CAN   1×Micro USB接口  2×GNSS天线接口 1×4G天线接口 1×电源接口</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无线通信：WIFI: 802.11b/g/n</w:t>
      </w:r>
      <w:r>
        <w:rPr>
          <w:rFonts w:ascii="仿宋_GB2312" w:hAnsi="仿宋_GB2312" w:eastAsia="仿宋_GB2312" w:cs="仿宋_GB2312"/>
          <w:sz w:val="24"/>
          <w:szCs w:val="24"/>
        </w:rPr>
        <w:t> </w:t>
      </w:r>
      <w:r>
        <w:rPr>
          <w:rFonts w:hint="eastAsia" w:ascii="仿宋_GB2312" w:hAnsi="仿宋_GB2312" w:eastAsia="仿宋_GB2312" w:cs="仿宋_GB2312"/>
          <w:sz w:val="24"/>
          <w:szCs w:val="24"/>
        </w:rPr>
        <w:t>4G：GSM/GPRS/EDGE 900/1800MHz，UMTS/HSPA+:850/900/2100MHzLTE:800/1800/2600MHz</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工作温度:-40°C～+75°C</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存储温度:-40°C～+85°C</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湿度:95%无冷凝</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防护等级:IP67</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振动:MIL-STD-810G（20g）</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冲击:IEC-60028-2-27（10g）</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输入电压:9～32V DC（标准适配12V DC）</w:t>
      </w:r>
    </w:p>
    <w:p>
      <w:pPr>
        <w:numPr>
          <w:ilvl w:val="0"/>
          <w:numId w:val="7"/>
        </w:numPr>
        <w:tabs>
          <w:tab w:val="left" w:pos="354"/>
        </w:tabs>
        <w:spacing w:before="3"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功耗:＜5W（典型值）</w:t>
      </w:r>
    </w:p>
    <w:p>
      <w:pPr>
        <w:numPr>
          <w:ilvl w:val="0"/>
          <w:numId w:val="4"/>
        </w:numPr>
        <w:spacing w:line="288" w:lineRule="auto"/>
        <w:ind w:left="839"/>
        <w:rPr>
          <w:rFonts w:ascii="仿宋_GB2312" w:hAnsi="仿宋_GB2312" w:eastAsia="仿宋_GB2312" w:cs="仿宋_GB2312"/>
          <w:sz w:val="24"/>
          <w:szCs w:val="24"/>
        </w:rPr>
      </w:pPr>
      <w:r>
        <w:rPr>
          <w:rFonts w:hint="eastAsia" w:ascii="仿宋_GB2312" w:hAnsi="仿宋_GB2312" w:eastAsia="仿宋_GB2312" w:cs="仿宋_GB2312"/>
          <w:sz w:val="24"/>
          <w:szCs w:val="24"/>
        </w:rPr>
        <w:t>摄像头</w:t>
      </w:r>
    </w:p>
    <w:p>
      <w:pPr>
        <w:numPr>
          <w:ilvl w:val="0"/>
          <w:numId w:val="8"/>
        </w:numPr>
        <w:spacing w:before="7" w:line="288" w:lineRule="auto"/>
        <w:ind w:left="353" w:hanging="240"/>
        <w:rPr>
          <w:rFonts w:ascii="仿宋_GB2312" w:hAnsi="仿宋_GB2312" w:eastAsia="仿宋_GB2312" w:cs="仿宋_GB2312"/>
          <w:sz w:val="24"/>
          <w:szCs w:val="24"/>
        </w:rPr>
      </w:pPr>
      <w:r>
        <w:rPr>
          <w:rFonts w:hint="eastAsia" w:ascii="仿宋_GB2312" w:hAnsi="仿宋_GB2312" w:eastAsia="仿宋_GB2312" w:cs="仿宋_GB2312"/>
          <w:sz w:val="24"/>
          <w:szCs w:val="24"/>
        </w:rPr>
        <w:t>镜头类型:鱼眼</w:t>
      </w:r>
    </w:p>
    <w:p>
      <w:pPr>
        <w:numPr>
          <w:ilvl w:val="0"/>
          <w:numId w:val="8"/>
        </w:numPr>
        <w:spacing w:before="7" w:line="288" w:lineRule="auto"/>
        <w:ind w:left="353" w:hanging="240"/>
        <w:rPr>
          <w:rFonts w:ascii="仿宋_GB2312" w:hAnsi="仿宋_GB2312" w:eastAsia="仿宋_GB2312" w:cs="仿宋_GB2312"/>
          <w:sz w:val="24"/>
          <w:szCs w:val="24"/>
        </w:rPr>
      </w:pPr>
      <w:r>
        <w:rPr>
          <w:rFonts w:hint="eastAsia" w:ascii="仿宋_GB2312" w:hAnsi="仿宋_GB2312" w:eastAsia="仿宋_GB2312" w:cs="仿宋_GB2312"/>
          <w:sz w:val="24"/>
          <w:szCs w:val="24"/>
        </w:rPr>
        <w:t>感光片:IMX291(1/2.8 inch)</w:t>
      </w:r>
    </w:p>
    <w:p>
      <w:pPr>
        <w:numPr>
          <w:ilvl w:val="0"/>
          <w:numId w:val="8"/>
        </w:numPr>
        <w:spacing w:before="7" w:line="288" w:lineRule="auto"/>
        <w:ind w:left="353" w:hanging="240"/>
        <w:rPr>
          <w:rFonts w:ascii="仿宋_GB2312" w:hAnsi="仿宋_GB2312" w:eastAsia="仿宋_GB2312" w:cs="仿宋_GB2312"/>
          <w:sz w:val="24"/>
          <w:szCs w:val="24"/>
        </w:rPr>
      </w:pPr>
      <w:r>
        <w:rPr>
          <w:rFonts w:hint="eastAsia" w:ascii="仿宋_GB2312" w:hAnsi="仿宋_GB2312" w:eastAsia="仿宋_GB2312" w:cs="仿宋_GB2312"/>
          <w:sz w:val="24"/>
          <w:szCs w:val="24"/>
        </w:rPr>
        <w:t>最高有效像素:1920(H) *1080(V)</w:t>
      </w:r>
    </w:p>
    <w:p>
      <w:pPr>
        <w:numPr>
          <w:ilvl w:val="0"/>
          <w:numId w:val="8"/>
        </w:numPr>
        <w:spacing w:before="7" w:line="288" w:lineRule="auto"/>
        <w:ind w:left="353" w:hanging="240"/>
        <w:rPr>
          <w:rFonts w:ascii="仿宋_GB2312" w:hAnsi="仿宋_GB2312" w:eastAsia="仿宋_GB2312" w:cs="仿宋_GB2312"/>
          <w:sz w:val="24"/>
          <w:szCs w:val="24"/>
        </w:rPr>
      </w:pPr>
      <w:r>
        <w:rPr>
          <w:rFonts w:hint="eastAsia" w:ascii="仿宋_GB2312" w:hAnsi="仿宋_GB2312" w:eastAsia="仿宋_GB2312" w:cs="仿宋_GB2312"/>
          <w:sz w:val="24"/>
          <w:szCs w:val="24"/>
        </w:rPr>
        <w:t>Lens Size</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:1/2.8 inch</w:t>
      </w:r>
    </w:p>
    <w:p>
      <w:pPr>
        <w:numPr>
          <w:ilvl w:val="0"/>
          <w:numId w:val="8"/>
        </w:numPr>
        <w:spacing w:before="7" w:line="288" w:lineRule="auto"/>
        <w:ind w:left="353" w:hanging="240"/>
        <w:rPr>
          <w:rFonts w:ascii="仿宋_GB2312" w:hAnsi="仿宋_GB2312" w:eastAsia="仿宋_GB2312" w:cs="仿宋_GB2312"/>
          <w:sz w:val="24"/>
          <w:szCs w:val="24"/>
        </w:rPr>
      </w:pPr>
      <w:r>
        <w:rPr>
          <w:rFonts w:hint="eastAsia" w:ascii="仿宋_GB2312" w:hAnsi="仿宋_GB2312" w:eastAsia="仿宋_GB2312" w:cs="仿宋_GB2312"/>
          <w:sz w:val="24"/>
          <w:szCs w:val="24"/>
        </w:rPr>
        <w:t>Pixel Size:12mm*9.3mm</w:t>
      </w:r>
    </w:p>
    <w:p>
      <w:pPr>
        <w:numPr>
          <w:ilvl w:val="0"/>
          <w:numId w:val="8"/>
        </w:numPr>
        <w:spacing w:before="7" w:line="288" w:lineRule="auto"/>
        <w:ind w:left="353" w:hanging="240"/>
        <w:rPr>
          <w:rFonts w:ascii="仿宋_GB2312" w:hAnsi="仿宋_GB2312" w:eastAsia="仿宋_GB2312" w:cs="仿宋_GB2312"/>
          <w:sz w:val="24"/>
          <w:szCs w:val="24"/>
        </w:rPr>
      </w:pPr>
      <w:r>
        <w:rPr>
          <w:rFonts w:hint="eastAsia" w:ascii="仿宋_GB2312" w:hAnsi="仿宋_GB2312" w:eastAsia="仿宋_GB2312" w:cs="仿宋_GB2312"/>
          <w:sz w:val="24"/>
          <w:szCs w:val="24"/>
        </w:rPr>
        <w:t>Image area:8.2mm*6.1mm</w:t>
      </w:r>
    </w:p>
    <w:p>
      <w:pPr>
        <w:numPr>
          <w:ilvl w:val="0"/>
          <w:numId w:val="8"/>
        </w:numPr>
        <w:spacing w:before="7" w:line="288" w:lineRule="auto"/>
        <w:ind w:left="353" w:hanging="240"/>
        <w:rPr>
          <w:rFonts w:ascii="仿宋_GB2312" w:hAnsi="仿宋_GB2312" w:eastAsia="仿宋_GB2312" w:cs="仿宋_GB2312"/>
          <w:sz w:val="24"/>
          <w:szCs w:val="24"/>
        </w:rPr>
      </w:pPr>
      <w:r>
        <w:rPr>
          <w:rFonts w:hint="eastAsia" w:ascii="仿宋_GB2312" w:hAnsi="仿宋_GB2312" w:eastAsia="仿宋_GB2312" w:cs="仿宋_GB2312"/>
          <w:sz w:val="24"/>
          <w:szCs w:val="24"/>
        </w:rPr>
        <w:t>输出图像格式:MJPEG/YUV2（YUYV）</w:t>
      </w:r>
    </w:p>
    <w:p>
      <w:pPr>
        <w:numPr>
          <w:ilvl w:val="0"/>
          <w:numId w:val="8"/>
        </w:numPr>
        <w:spacing w:before="7" w:line="288" w:lineRule="auto"/>
        <w:ind w:left="353" w:hanging="240"/>
        <w:rPr>
          <w:rFonts w:ascii="仿宋_GB2312" w:hAnsi="仿宋_GB2312" w:eastAsia="仿宋_GB2312" w:cs="仿宋_GB2312"/>
          <w:sz w:val="24"/>
          <w:szCs w:val="24"/>
        </w:rPr>
      </w:pPr>
      <w:r>
        <w:rPr>
          <w:rFonts w:hint="eastAsia" w:ascii="仿宋_GB2312" w:hAnsi="仿宋_GB2312" w:eastAsia="仿宋_GB2312" w:cs="仿宋_GB2312"/>
          <w:sz w:val="24"/>
          <w:szCs w:val="24"/>
        </w:rPr>
        <w:t>支持的分辨率和帧率:</w:t>
      </w:r>
    </w:p>
    <w:p>
      <w:pPr>
        <w:spacing w:before="7" w:line="288" w:lineRule="auto"/>
        <w:ind w:left="113" w:firstLine="240" w:firstLineChars="100"/>
        <w:rPr>
          <w:rFonts w:ascii="仿宋_GB2312" w:hAnsi="仿宋_GB2312" w:eastAsia="仿宋_GB2312" w:cs="仿宋_GB2312"/>
          <w:sz w:val="24"/>
          <w:szCs w:val="24"/>
        </w:rPr>
      </w:pPr>
      <w:r>
        <w:rPr>
          <w:rFonts w:hint="eastAsia" w:ascii="仿宋_GB2312" w:hAnsi="仿宋_GB2312" w:eastAsia="仿宋_GB2312" w:cs="仿宋_GB2312"/>
          <w:sz w:val="24"/>
          <w:szCs w:val="24"/>
        </w:rPr>
        <w:t>1920*1080p/50帧/YUV/MJPEG</w:t>
      </w:r>
    </w:p>
    <w:p>
      <w:pPr>
        <w:spacing w:before="7" w:line="288" w:lineRule="auto"/>
        <w:ind w:left="113" w:firstLine="240" w:firstLineChars="100"/>
        <w:rPr>
          <w:rFonts w:ascii="仿宋_GB2312" w:hAnsi="仿宋_GB2312" w:eastAsia="仿宋_GB2312" w:cs="仿宋_GB2312"/>
          <w:sz w:val="24"/>
          <w:szCs w:val="24"/>
        </w:rPr>
      </w:pPr>
      <w:r>
        <w:rPr>
          <w:rFonts w:hint="eastAsia" w:ascii="仿宋_GB2312" w:hAnsi="仿宋_GB2312" w:eastAsia="仿宋_GB2312" w:cs="仿宋_GB2312"/>
          <w:sz w:val="24"/>
          <w:szCs w:val="24"/>
        </w:rPr>
        <w:t>1280*720P/50帧/YUV/MJPEG</w:t>
      </w:r>
    </w:p>
    <w:p>
      <w:pPr>
        <w:spacing w:before="7" w:line="288" w:lineRule="auto"/>
        <w:ind w:left="113" w:firstLine="240" w:firstLineChars="100"/>
        <w:rPr>
          <w:rFonts w:ascii="仿宋_GB2312" w:hAnsi="仿宋_GB2312" w:eastAsia="仿宋_GB2312" w:cs="仿宋_GB2312"/>
          <w:sz w:val="24"/>
          <w:szCs w:val="24"/>
        </w:rPr>
      </w:pPr>
      <w:r>
        <w:rPr>
          <w:rFonts w:hint="eastAsia" w:ascii="仿宋_GB2312" w:hAnsi="仿宋_GB2312" w:eastAsia="仿宋_GB2312" w:cs="仿宋_GB2312"/>
          <w:sz w:val="24"/>
          <w:szCs w:val="24"/>
        </w:rPr>
        <w:t>640*480p/60帧/YUV/MJPEG</w:t>
      </w:r>
    </w:p>
    <w:p>
      <w:pPr>
        <w:spacing w:after="120" w:line="288"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（9）对焦:固定</w:t>
      </w:r>
    </w:p>
    <w:p>
      <w:pPr>
        <w:numPr>
          <w:ilvl w:val="0"/>
          <w:numId w:val="4"/>
        </w:numPr>
        <w:spacing w:line="288" w:lineRule="auto"/>
        <w:ind w:left="839"/>
        <w:rPr>
          <w:rFonts w:ascii="仿宋_GB2312" w:hAnsi="仿宋_GB2312" w:eastAsia="仿宋_GB2312" w:cs="仿宋_GB2312"/>
          <w:sz w:val="24"/>
          <w:szCs w:val="24"/>
        </w:rPr>
      </w:pPr>
      <w:r>
        <w:rPr>
          <w:rFonts w:hint="eastAsia" w:ascii="仿宋_GB2312" w:hAnsi="仿宋_GB2312" w:eastAsia="仿宋_GB2312" w:cs="仿宋_GB2312"/>
          <w:sz w:val="24"/>
          <w:szCs w:val="24"/>
        </w:rPr>
        <w:t>单目相机</w:t>
      </w:r>
    </w:p>
    <w:p>
      <w:pPr>
        <w:numPr>
          <w:ilvl w:val="0"/>
          <w:numId w:val="9"/>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水平视场角：90°</w:t>
      </w:r>
    </w:p>
    <w:p>
      <w:pPr>
        <w:numPr>
          <w:ilvl w:val="0"/>
          <w:numId w:val="9"/>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垂直视场角：50°</w:t>
      </w:r>
    </w:p>
    <w:p>
      <w:pPr>
        <w:numPr>
          <w:ilvl w:val="0"/>
          <w:numId w:val="9"/>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光圈：≤2</w:t>
      </w:r>
    </w:p>
    <w:p>
      <w:pPr>
        <w:numPr>
          <w:ilvl w:val="0"/>
          <w:numId w:val="9"/>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有效焦距：2.44mm</w:t>
      </w:r>
    </w:p>
    <w:p>
      <w:pPr>
        <w:numPr>
          <w:ilvl w:val="0"/>
          <w:numId w:val="9"/>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防水等级：IP67</w:t>
      </w:r>
    </w:p>
    <w:p>
      <w:pPr>
        <w:numPr>
          <w:ilvl w:val="0"/>
          <w:numId w:val="4"/>
        </w:numPr>
        <w:spacing w:line="288" w:lineRule="auto"/>
        <w:ind w:left="839"/>
        <w:rPr>
          <w:rFonts w:ascii="仿宋_GB2312" w:hAnsi="仿宋_GB2312" w:eastAsia="仿宋_GB2312" w:cs="仿宋_GB2312"/>
          <w:sz w:val="24"/>
          <w:szCs w:val="24"/>
        </w:rPr>
      </w:pPr>
      <w:r>
        <w:rPr>
          <w:rFonts w:hint="eastAsia" w:ascii="仿宋_GB2312" w:hAnsi="仿宋_GB2312" w:eastAsia="仿宋_GB2312" w:cs="仿宋_GB2312"/>
          <w:sz w:val="24"/>
          <w:szCs w:val="24"/>
        </w:rPr>
        <w:t>处理器</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AI计算能力：≥32T OPS</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CPU：8核ARM v8.2 64位处理器</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GPU：512核Volta架构的图形处理器</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内存：32GB 256位LPDDR4内存</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DLA加速：配备2个NV DLA引擎，用于深度学习加速存储；</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存储：内置32GB eMMC 5.1存储器</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网络接口：4个千兆端口（可选配IEEE 802.3 at PoE+ 25.5W功率传输）</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相机接口：使用GMSL2标准， 采用 MINI FAKRA连接器并同时支持4路数据传输的TYPE相机接口（10V电压供应，传输距离可达15米，可与GMSL1设备兼容连接），2个以上</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视频输出：1个HDMI 2.0接口（TYPE A）</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USB：2个USB 3.0接口（TYPE A）</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通用输入/输出口：4个输入口（0-12V）、4个输出口（3.3V）的通用输入/输出口（GPIO）</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CAN FD：5个CAN FD接口（带有CAN芯片终端电阻120Ω）</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串口UART：1个调试串口（RS232）、3个RS232串口、2个RS485/RS422串口同步输入/输出口：</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同步输入/输出口：1个SYNC_IN输入口（0-12V）、1个SYNC_OUT输出口（3.3V）、1个SYNC_PPS输出口（3.3V）扩展接口：</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扩展接口：1个M.2 M Key接口（支持PCIe x4，2280尺寸）、1个Mini PCle接口（用于4G或WiFi扩展）、1个Nano SIM卡插槽按键功能：</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按键功能：1个电源按键、1个重置按键、1个恢复按键（按钮形式）输入类型：</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输入类型：直流电源（DC）</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输入宽压：宽输入范围9-36V DC</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功耗：≤30W</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存储湿度：10%至90%（非凝结性）</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抗震等级：2Grms,10Hz~500Hz,1h/axis </w:t>
      </w:r>
    </w:p>
    <w:p>
      <w:pPr>
        <w:numPr>
          <w:ilvl w:val="0"/>
          <w:numId w:val="10"/>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保护级别：IP5X（默认）</w:t>
      </w:r>
    </w:p>
    <w:p>
      <w:pPr>
        <w:numPr>
          <w:ilvl w:val="0"/>
          <w:numId w:val="4"/>
        </w:numPr>
        <w:spacing w:line="288" w:lineRule="auto"/>
        <w:ind w:left="839"/>
        <w:rPr>
          <w:rFonts w:ascii="仿宋_GB2312" w:hAnsi="仿宋_GB2312" w:eastAsia="仿宋_GB2312" w:cs="仿宋_GB2312"/>
          <w:sz w:val="24"/>
          <w:szCs w:val="24"/>
        </w:rPr>
      </w:pPr>
      <w:r>
        <w:rPr>
          <w:rFonts w:hint="eastAsia" w:ascii="仿宋_GB2312" w:hAnsi="仿宋_GB2312" w:eastAsia="仿宋_GB2312" w:cs="仿宋_GB2312"/>
          <w:sz w:val="24"/>
          <w:szCs w:val="24"/>
        </w:rPr>
        <w:t>路由器</w:t>
      </w:r>
    </w:p>
    <w:p>
      <w:pPr>
        <w:numPr>
          <w:ilvl w:val="0"/>
          <w:numId w:val="11"/>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支持频段：4G 全网通</w:t>
      </w:r>
    </w:p>
    <w:p>
      <w:pPr>
        <w:numPr>
          <w:ilvl w:val="0"/>
          <w:numId w:val="11"/>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天线：双天线</w:t>
      </w:r>
    </w:p>
    <w:p>
      <w:pPr>
        <w:numPr>
          <w:ilvl w:val="0"/>
          <w:numId w:val="11"/>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网络接口：4 个自适应</w:t>
      </w:r>
    </w:p>
    <w:p>
      <w:pPr>
        <w:numPr>
          <w:ilvl w:val="0"/>
          <w:numId w:val="11"/>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100/1000 Mbps LAN 口</w:t>
      </w:r>
    </w:p>
    <w:p>
      <w:pPr>
        <w:numPr>
          <w:ilvl w:val="0"/>
          <w:numId w:val="11"/>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工作温度 15°-- 85°</w:t>
      </w:r>
    </w:p>
    <w:p>
      <w:pPr>
        <w:numPr>
          <w:ilvl w:val="0"/>
          <w:numId w:val="11"/>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工作湿度 10%-85%RH （不凝结）</w:t>
      </w:r>
    </w:p>
    <w:p>
      <w:pPr>
        <w:numPr>
          <w:ilvl w:val="0"/>
          <w:numId w:val="11"/>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供电 12V</w:t>
      </w:r>
    </w:p>
    <w:p>
      <w:pPr>
        <w:numPr>
          <w:ilvl w:val="0"/>
          <w:numId w:val="11"/>
        </w:numPr>
        <w:spacing w:line="288" w:lineRule="auto"/>
        <w:ind w:left="425" w:hanging="425"/>
        <w:rPr>
          <w:rFonts w:ascii="仿宋_GB2312" w:hAnsi="仿宋_GB2312" w:eastAsia="仿宋_GB2312" w:cs="仿宋_GB2312"/>
          <w:sz w:val="24"/>
          <w:szCs w:val="24"/>
        </w:rPr>
      </w:pPr>
      <w:r>
        <w:rPr>
          <w:rFonts w:hint="eastAsia" w:ascii="仿宋_GB2312" w:hAnsi="仿宋_GB2312" w:eastAsia="仿宋_GB2312" w:cs="仿宋_GB2312"/>
          <w:sz w:val="24"/>
          <w:szCs w:val="24"/>
        </w:rPr>
        <w:t>无线网络标准 2.4GHz/5GHz 双频</w:t>
      </w:r>
    </w:p>
    <w:p>
      <w:pPr>
        <w:spacing w:before="319" w:beforeLines="100" w:line="288" w:lineRule="auto"/>
        <w:ind w:firstLine="480" w:firstLineChars="200"/>
        <w:rPr>
          <w:rFonts w:ascii="楷体_GB2312" w:hAnsi="楷体_GB2312" w:eastAsia="楷体_GB2312" w:cs="楷体_GB2312"/>
          <w:sz w:val="24"/>
          <w:szCs w:val="24"/>
        </w:rPr>
      </w:pPr>
      <w:bookmarkStart w:id="58" w:name="_Toc4617_WPSOffice_Level2"/>
      <w:r>
        <w:rPr>
          <w:rFonts w:hint="eastAsia" w:ascii="楷体_GB2312" w:hAnsi="楷体_GB2312" w:eastAsia="楷体_GB2312" w:cs="楷体_GB2312"/>
          <w:sz w:val="24"/>
          <w:szCs w:val="24"/>
        </w:rPr>
        <w:t>（二）智能网联汽车仿真平台</w:t>
      </w:r>
      <w:bookmarkEnd w:id="58"/>
    </w:p>
    <w:p>
      <w:pPr>
        <w:spacing w:line="288"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智能网联汽车仿真平台是一款定位于智能网联车路协同场景虚拟仿真应用，内涵丰富的车路协同应用场景协议栈，可便捷提供典型车路协同应用场景在线仿真模拟。</w:t>
      </w:r>
    </w:p>
    <w:p>
      <w:pPr>
        <w:spacing w:line="288"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智能网联汽车仿真平台技术参数见表</w:t>
      </w:r>
      <w:r>
        <w:rPr>
          <w:rFonts w:ascii="仿宋_GB2312" w:hAnsi="仿宋_GB2312" w:eastAsia="仿宋_GB2312" w:cs="仿宋_GB2312"/>
          <w:sz w:val="24"/>
          <w:szCs w:val="24"/>
        </w:rPr>
        <w:t>9</w:t>
      </w:r>
      <w:r>
        <w:rPr>
          <w:rFonts w:hint="eastAsia" w:ascii="仿宋_GB2312" w:hAnsi="仿宋_GB2312" w:eastAsia="仿宋_GB2312" w:cs="仿宋_GB2312"/>
          <w:sz w:val="24"/>
          <w:szCs w:val="24"/>
        </w:rPr>
        <w:t>：</w:t>
      </w:r>
    </w:p>
    <w:p>
      <w:pPr>
        <w:spacing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表</w:t>
      </w:r>
      <w:r>
        <w:rPr>
          <w:rFonts w:hint="eastAsia" w:ascii="仿宋_GB2312" w:hAnsi="仿宋_GB2312" w:eastAsia="仿宋_GB2312" w:cs="仿宋_GB2312"/>
          <w:sz w:val="21"/>
          <w:szCs w:val="21"/>
          <w:lang w:val="en-US" w:eastAsia="zh-CN"/>
        </w:rPr>
        <w:t>9</w:t>
      </w:r>
      <w:r>
        <w:rPr>
          <w:rFonts w:hint="eastAsia" w:ascii="仿宋_GB2312" w:hAnsi="仿宋_GB2312" w:eastAsia="仿宋_GB2312" w:cs="仿宋_GB2312"/>
          <w:sz w:val="21"/>
          <w:szCs w:val="21"/>
        </w:rPr>
        <w:t xml:space="preserve"> 汽车智能网联功能验证平台技术要求</w:t>
      </w:r>
    </w:p>
    <w:tbl>
      <w:tblPr>
        <w:tblStyle w:val="1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8"/>
        <w:gridCol w:w="7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644" w:type="pct"/>
            <w:vAlign w:val="center"/>
          </w:tcPr>
          <w:p>
            <w:pPr>
              <w:spacing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4356" w:type="pct"/>
            <w:vAlign w:val="center"/>
          </w:tcPr>
          <w:p>
            <w:pPr>
              <w:spacing w:before="40" w:line="288" w:lineRule="auto"/>
              <w:ind w:left="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vAlign w:val="center"/>
          </w:tcPr>
          <w:p>
            <w:pPr>
              <w:spacing w:line="288" w:lineRule="auto"/>
              <w:ind w:left="360"/>
              <w:rPr>
                <w:rFonts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4356" w:type="pct"/>
            <w:vAlign w:val="center"/>
          </w:tcPr>
          <w:p>
            <w:pPr>
              <w:spacing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支持CSAE 53-2020标准下的15类典型</w:t>
            </w:r>
            <w:r>
              <w:rPr>
                <w:rFonts w:hint="eastAsia" w:ascii="PingFang SC" w:hAnsi="PingFang SC" w:eastAsia="PingFang SC" w:cs="PingFang SC"/>
                <w:sz w:val="21"/>
                <w:szCs w:val="21"/>
              </w:rPr>
              <w:t>⻋</w:t>
            </w:r>
            <w:r>
              <w:rPr>
                <w:rFonts w:hint="eastAsia" w:ascii="仿宋_GB2312" w:hAnsi="仿宋_GB2312" w:eastAsia="仿宋_GB2312" w:cs="仿宋_GB2312"/>
                <w:sz w:val="21"/>
                <w:szCs w:val="21"/>
              </w:rPr>
              <w:t>路协同场景的模拟，具体涉及：前向碰撞预警、交叉口碰撞预警、左转辅助、盲区预警、紧急制动预警、异常车辆提醒、车辆失控预警、道路危险状况提示、限速预警、闯红灯预警、弱热交通参与者碰撞预警、绿波车速引导、车内标牌、前方拥堵提醒、紧急车辆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vAlign w:val="center"/>
          </w:tcPr>
          <w:p>
            <w:pPr>
              <w:spacing w:line="288" w:lineRule="auto"/>
              <w:ind w:left="360"/>
              <w:rPr>
                <w:rFonts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4356" w:type="pct"/>
            <w:vAlign w:val="center"/>
          </w:tcPr>
          <w:p>
            <w:pPr>
              <w:spacing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支持CSAE 157-2020标准下的11类典型⻋路协同场景的模拟，具体涉及：感知数据共享、协作式变道、协作式车辆汇入、协作式交叉口通行、差分数据服务、动态车道管理、协作式优先车辆通行、场站路径引导服务、浮动车数据采集、弱势交通参与者安全通行、协作式车辆编队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vAlign w:val="center"/>
          </w:tcPr>
          <w:p>
            <w:pPr>
              <w:spacing w:line="288" w:lineRule="auto"/>
              <w:ind w:left="360"/>
              <w:rPr>
                <w:rFonts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4356" w:type="pct"/>
            <w:vAlign w:val="center"/>
          </w:tcPr>
          <w:p>
            <w:pPr>
              <w:spacing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支持车路协同场景的快速搭建和仿真。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vAlign w:val="center"/>
          </w:tcPr>
          <w:p>
            <w:pPr>
              <w:spacing w:line="288" w:lineRule="auto"/>
              <w:ind w:left="360"/>
              <w:rPr>
                <w:rFonts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4356" w:type="pct"/>
            <w:vAlign w:val="center"/>
          </w:tcPr>
          <w:p>
            <w:pPr>
              <w:spacing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支持LTE-V2X/以太网数据交互方式。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vAlign w:val="center"/>
          </w:tcPr>
          <w:p>
            <w:pPr>
              <w:spacing w:line="288" w:lineRule="auto"/>
              <w:ind w:left="360"/>
              <w:rPr>
                <w:rFonts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4356" w:type="pct"/>
            <w:vAlign w:val="center"/>
          </w:tcPr>
          <w:p>
            <w:pPr>
              <w:spacing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任务管理：</w:t>
            </w:r>
          </w:p>
          <w:p>
            <w:pPr>
              <w:numPr>
                <w:ilvl w:val="0"/>
                <w:numId w:val="12"/>
              </w:numPr>
              <w:spacing w:line="288" w:lineRule="auto"/>
              <w:ind w:left="360" w:hanging="360"/>
              <w:rPr>
                <w:rFonts w:ascii="仿宋_GB2312" w:hAnsi="仿宋_GB2312" w:eastAsia="仿宋_GB2312" w:cs="仿宋_GB2312"/>
                <w:sz w:val="21"/>
                <w:szCs w:val="21"/>
              </w:rPr>
            </w:pPr>
            <w:r>
              <w:rPr>
                <w:rFonts w:hint="eastAsia" w:ascii="仿宋_GB2312" w:hAnsi="仿宋_GB2312" w:eastAsia="仿宋_GB2312" w:cs="仿宋_GB2312"/>
                <w:sz w:val="21"/>
                <w:szCs w:val="21"/>
              </w:rPr>
              <w:t>支持任务的连续性测试。</w:t>
            </w:r>
          </w:p>
          <w:p>
            <w:pPr>
              <w:numPr>
                <w:ilvl w:val="0"/>
                <w:numId w:val="12"/>
              </w:numPr>
              <w:spacing w:line="288" w:lineRule="auto"/>
              <w:ind w:left="360" w:hanging="360"/>
              <w:rPr>
                <w:rFonts w:ascii="仿宋_GB2312" w:hAnsi="仿宋_GB2312" w:eastAsia="仿宋_GB2312" w:cs="仿宋_GB2312"/>
                <w:sz w:val="21"/>
                <w:szCs w:val="21"/>
              </w:rPr>
            </w:pPr>
            <w:r>
              <w:rPr>
                <w:rFonts w:hint="eastAsia" w:ascii="仿宋_GB2312" w:hAnsi="仿宋_GB2312" w:eastAsia="仿宋_GB2312" w:cs="仿宋_GB2312"/>
                <w:sz w:val="21"/>
                <w:szCs w:val="21"/>
              </w:rPr>
              <w:t>支持任务的全局回放和事故点回放。</w:t>
            </w:r>
          </w:p>
        </w:tc>
      </w:tr>
    </w:tbl>
    <w:p>
      <w:pPr>
        <w:spacing w:before="319" w:beforeLines="100" w:line="288" w:lineRule="auto"/>
        <w:ind w:firstLine="480" w:firstLineChars="200"/>
        <w:rPr>
          <w:rFonts w:ascii="楷体_GB2312" w:hAnsi="楷体_GB2312" w:eastAsia="楷体_GB2312" w:cs="楷体_GB2312"/>
          <w:sz w:val="24"/>
          <w:szCs w:val="24"/>
        </w:rPr>
      </w:pPr>
      <w:bookmarkStart w:id="59" w:name="_Toc32354_WPSOffice_Level2"/>
      <w:r>
        <w:rPr>
          <w:rFonts w:hint="eastAsia" w:ascii="楷体_GB2312" w:hAnsi="楷体_GB2312" w:eastAsia="楷体_GB2312" w:cs="楷体_GB2312"/>
          <w:sz w:val="24"/>
          <w:szCs w:val="24"/>
        </w:rPr>
        <w:t>（三）智能网联汽车车联网平台</w:t>
      </w:r>
      <w:bookmarkEnd w:id="59"/>
    </w:p>
    <w:p>
      <w:pPr>
        <w:spacing w:line="288"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智能网联汽车车联网平台是由交通信号灯、交通信号机、智能路侧单元、智能车载单元、交换机、移动电源等相关设备组成。</w:t>
      </w:r>
    </w:p>
    <w:p>
      <w:pPr>
        <w:spacing w:line="288"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智能网联汽车车联网平台技术参数见表</w:t>
      </w:r>
      <w:r>
        <w:rPr>
          <w:rFonts w:hint="eastAsia" w:ascii="仿宋_GB2312" w:hAnsi="仿宋_GB2312" w:eastAsia="仿宋_GB2312" w:cs="仿宋_GB2312"/>
          <w:sz w:val="24"/>
          <w:szCs w:val="24"/>
          <w:lang w:val="en-US" w:eastAsia="zh-CN"/>
        </w:rPr>
        <w:t>10</w:t>
      </w:r>
      <w:r>
        <w:rPr>
          <w:rFonts w:hint="eastAsia" w:ascii="仿宋_GB2312" w:hAnsi="仿宋_GB2312" w:eastAsia="仿宋_GB2312" w:cs="仿宋_GB2312"/>
          <w:sz w:val="24"/>
          <w:szCs w:val="24"/>
        </w:rPr>
        <w:t>：</w:t>
      </w:r>
    </w:p>
    <w:p>
      <w:pPr>
        <w:spacing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表</w:t>
      </w:r>
      <w:r>
        <w:rPr>
          <w:rFonts w:hint="eastAsia" w:ascii="仿宋_GB2312" w:hAnsi="仿宋_GB2312" w:eastAsia="仿宋_GB2312" w:cs="仿宋_GB2312"/>
          <w:sz w:val="21"/>
          <w:szCs w:val="21"/>
          <w:lang w:val="en-US" w:eastAsia="zh-CN"/>
        </w:rPr>
        <w:t>10</w:t>
      </w:r>
      <w:r>
        <w:rPr>
          <w:rFonts w:hint="eastAsia" w:ascii="仿宋_GB2312" w:hAnsi="仿宋_GB2312" w:eastAsia="仿宋_GB2312" w:cs="仿宋_GB2312"/>
          <w:sz w:val="21"/>
          <w:szCs w:val="21"/>
        </w:rPr>
        <w:t xml:space="preserve"> 智能网联汽车车联网平台技术要求</w:t>
      </w:r>
    </w:p>
    <w:tbl>
      <w:tblPr>
        <w:tblStyle w:val="1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7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Align w:val="center"/>
          </w:tcPr>
          <w:p>
            <w:pPr>
              <w:spacing w:before="120" w:after="120"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4356" w:type="pct"/>
            <w:vAlign w:val="center"/>
          </w:tcPr>
          <w:p>
            <w:pPr>
              <w:spacing w:before="120" w:after="120" w:line="288"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Align w:val="center"/>
          </w:tcPr>
          <w:p>
            <w:pPr>
              <w:spacing w:line="288" w:lineRule="auto"/>
              <w:ind w:left="360"/>
              <w:rPr>
                <w:rFonts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4356" w:type="pct"/>
            <w:vAlign w:val="center"/>
          </w:tcPr>
          <w:p>
            <w:pPr>
              <w:spacing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基站蕴含车路协同核心技术能力，内置V2X协议栈、算法模型库，可面向智能网联汽车、自动驾驶汽车提供多元化的路侧结构化信息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Align w:val="center"/>
          </w:tcPr>
          <w:p>
            <w:pPr>
              <w:spacing w:line="288" w:lineRule="auto"/>
              <w:ind w:left="360"/>
              <w:rPr>
                <w:rFonts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4356" w:type="pct"/>
            <w:vAlign w:val="center"/>
          </w:tcPr>
          <w:p>
            <w:pPr>
              <w:spacing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可支持快速构建闯红灯预警、绿波车速引导、标志标牌（事件）预警、协作式优先车辆通行、弱势交通参与者预警等车路协同应用场景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Align w:val="center"/>
          </w:tcPr>
          <w:p>
            <w:pPr>
              <w:spacing w:line="288" w:lineRule="auto"/>
              <w:ind w:left="360"/>
              <w:rPr>
                <w:rFonts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4356" w:type="pct"/>
            <w:vAlign w:val="center"/>
          </w:tcPr>
          <w:p>
            <w:pPr>
              <w:spacing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可支持快速构建闯红灯预警、绿波车速引导、标志标牌（事件）预警、协作式优先车辆通行、弱势交通参与者预警等车路协同应用场景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Align w:val="center"/>
          </w:tcPr>
          <w:p>
            <w:pPr>
              <w:spacing w:line="288" w:lineRule="auto"/>
              <w:ind w:left="360"/>
              <w:rPr>
                <w:rFonts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4356" w:type="pct"/>
            <w:vAlign w:val="center"/>
          </w:tcPr>
          <w:p>
            <w:pPr>
              <w:spacing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具备智能路侧单元，可提供快捷的网联化基础建设，产品内置C-V2X协议栈，可快速打造DAY1、DAY2等V2X应用场景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Align w:val="center"/>
          </w:tcPr>
          <w:p>
            <w:pPr>
              <w:spacing w:line="288" w:lineRule="auto"/>
              <w:ind w:left="360"/>
              <w:rPr>
                <w:rFonts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4356" w:type="pct"/>
            <w:vAlign w:val="center"/>
          </w:tcPr>
          <w:p>
            <w:pPr>
              <w:spacing w:line="288" w:lineRule="auto"/>
              <w:rPr>
                <w:rFonts w:ascii="仿宋_GB2312" w:hAnsi="仿宋_GB2312" w:eastAsia="仿宋_GB2312" w:cs="仿宋_GB2312"/>
                <w:sz w:val="21"/>
                <w:szCs w:val="21"/>
              </w:rPr>
            </w:pPr>
            <w:r>
              <w:rPr>
                <w:rFonts w:hint="eastAsia" w:ascii="仿宋_GB2312" w:hAnsi="仿宋_GB2312" w:eastAsia="仿宋_GB2312" w:cs="仿宋_GB2312"/>
                <w:sz w:val="21"/>
                <w:szCs w:val="21"/>
              </w:rPr>
              <w:t>具备智能车载单元，面向5G+C-V2X应用的车路协同系统车载端设备，通过与车辆，路侧设备和云端平台进行交互实现车与道路间的协同。具有大带宽，低延时，高可靠，高精度定位（支持RTK和IMU）等特点，赋能自动驾驶车辆和网联车辆全时空的感知能力</w:t>
            </w:r>
          </w:p>
        </w:tc>
      </w:tr>
    </w:tbl>
    <w:p>
      <w:pPr>
        <w:adjustRightInd w:val="0"/>
        <w:spacing w:line="560" w:lineRule="exact"/>
        <w:jc w:val="left"/>
        <w:rPr>
          <w:rFonts w:ascii="LinTimes" w:hAnsi="LinTimes" w:eastAsia="华文中宋" w:cs="Times New Roman"/>
          <w:b/>
          <w:bCs/>
          <w:sz w:val="44"/>
          <w:szCs w:val="44"/>
        </w:rPr>
      </w:pPr>
    </w:p>
    <w:sectPr>
      <w:footerReference r:id="rId5" w:type="default"/>
      <w:pgSz w:w="11906" w:h="16838"/>
      <w:pgMar w:top="1440" w:right="1644" w:bottom="1440" w:left="1644" w:header="851" w:footer="992" w:gutter="0"/>
      <w:pgNumType w:fmt="decimal" w:start="1"/>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Frutiger LT Com 45 Light">
    <w:altName w:val="Segoe Print"/>
    <w:panose1 w:val="00000000000000000000"/>
    <w:charset w:val="00"/>
    <w:family w:val="decorative"/>
    <w:pitch w:val="default"/>
    <w:sig w:usb0="00000000" w:usb1="00000000" w:usb2="00000000" w:usb3="00000000" w:csb0="00000001" w:csb1="00000000"/>
  </w:font>
  <w:font w:name="Inria Serif">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roman"/>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LinTimes">
    <w:altName w:val="Segoe Print"/>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swiss"/>
    <w:pitch w:val="default"/>
    <w:sig w:usb0="00000000" w:usb1="00000000" w:usb2="00000010" w:usb3="00000000" w:csb0="00040000" w:csb1="00000000"/>
  </w:font>
  <w:font w:name="PingFang SC">
    <w:altName w:val="Cambria"/>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rPr>
        <w:rFonts w:cs="Times New Roman"/>
      </w:rPr>
    </w:pPr>
    <w:r>
      <w:pict>
        <v:shape id="_x0000_s4097" o:spid="_x0000_s4097" o:spt="202" type="#_x0000_t202" style="position:absolute;left:0pt;margin-top:0pt;height:21.95pt;width:4.6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0"/>
                  <w:rPr>
                    <w:rFonts w:cs="Times New Roman"/>
                  </w:rPr>
                </w:pPr>
              </w:p>
            </w:txbxContent>
          </v:textbox>
        </v:shape>
      </w:pict>
    </w:r>
    <w:r>
      <w:rPr>
        <w:rFonts w:cs="Times New Roma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rPr>
        <w:rFonts w:cs="Times New Roman"/>
      </w:rPr>
    </w:pPr>
    <w:r>
      <w:pict>
        <v:shape id="_x0000_s4098" o:spid="_x0000_s4098" o:spt="202" type="#_x0000_t202" style="position:absolute;left:0pt;margin-top:0pt;height:21.95pt;width:4.6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10"/>
                  <w:rPr>
                    <w:rFonts w:cs="Times New Roman"/>
                  </w:rPr>
                </w:pPr>
                <w:r>
                  <w:fldChar w:fldCharType="begin"/>
                </w:r>
                <w:r>
                  <w:instrText xml:space="preserve"> PAGE  \* MERGEFORMAT </w:instrText>
                </w:r>
                <w:r>
                  <w:fldChar w:fldCharType="separate"/>
                </w:r>
                <w:r>
                  <w:t>38</w:t>
                </w:r>
                <w:r>
                  <w:fldChar w:fldCharType="end"/>
                </w:r>
              </w:p>
            </w:txbxContent>
          </v:textbox>
        </v:shape>
      </w:pict>
    </w:r>
    <w:r>
      <w:rPr>
        <w:rFonts w:cs="Times New Roma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02FF9"/>
    <w:multiLevelType w:val="singleLevel"/>
    <w:tmpl w:val="89B02FF9"/>
    <w:lvl w:ilvl="0" w:tentative="0">
      <w:start w:val="1"/>
      <w:numFmt w:val="decimal"/>
      <w:lvlText w:val="(%1)"/>
      <w:lvlJc w:val="left"/>
      <w:pPr>
        <w:ind w:left="425" w:hanging="425"/>
      </w:pPr>
      <w:rPr>
        <w:rFonts w:hint="default"/>
      </w:rPr>
    </w:lvl>
  </w:abstractNum>
  <w:abstractNum w:abstractNumId="1">
    <w:nsid w:val="92CA6E79"/>
    <w:multiLevelType w:val="singleLevel"/>
    <w:tmpl w:val="92CA6E79"/>
    <w:lvl w:ilvl="0" w:tentative="0">
      <w:start w:val="1"/>
      <w:numFmt w:val="decimal"/>
      <w:lvlText w:val="(%1)"/>
      <w:lvlJc w:val="left"/>
      <w:pPr>
        <w:ind w:left="425" w:hanging="425"/>
      </w:pPr>
      <w:rPr>
        <w:rFonts w:hint="default"/>
      </w:rPr>
    </w:lvl>
  </w:abstractNum>
  <w:abstractNum w:abstractNumId="2">
    <w:nsid w:val="99DD91DD"/>
    <w:multiLevelType w:val="singleLevel"/>
    <w:tmpl w:val="99DD91DD"/>
    <w:lvl w:ilvl="0" w:tentative="0">
      <w:start w:val="1"/>
      <w:numFmt w:val="decimal"/>
      <w:lvlText w:val="(%1)"/>
      <w:lvlJc w:val="left"/>
      <w:pPr>
        <w:ind w:left="425" w:hanging="425"/>
      </w:pPr>
      <w:rPr>
        <w:rFonts w:hint="default"/>
      </w:rPr>
    </w:lvl>
  </w:abstractNum>
  <w:abstractNum w:abstractNumId="3">
    <w:nsid w:val="C58AD6A9"/>
    <w:multiLevelType w:val="singleLevel"/>
    <w:tmpl w:val="C58AD6A9"/>
    <w:lvl w:ilvl="0" w:tentative="0">
      <w:start w:val="1"/>
      <w:numFmt w:val="bullet"/>
      <w:lvlText w:val=""/>
      <w:lvlJc w:val="left"/>
      <w:pPr>
        <w:ind w:left="420" w:hanging="420"/>
      </w:pPr>
      <w:rPr>
        <w:rFonts w:hint="default" w:ascii="Wingdings" w:hAnsi="Wingdings"/>
      </w:rPr>
    </w:lvl>
  </w:abstractNum>
  <w:abstractNum w:abstractNumId="4">
    <w:nsid w:val="E0C230BA"/>
    <w:multiLevelType w:val="singleLevel"/>
    <w:tmpl w:val="E0C230BA"/>
    <w:lvl w:ilvl="0" w:tentative="0">
      <w:start w:val="1"/>
      <w:numFmt w:val="decimal"/>
      <w:lvlText w:val="(%1)"/>
      <w:lvlJc w:val="left"/>
      <w:pPr>
        <w:ind w:left="425" w:hanging="425"/>
      </w:pPr>
      <w:rPr>
        <w:rFonts w:hint="default"/>
      </w:rPr>
    </w:lvl>
  </w:abstractNum>
  <w:abstractNum w:abstractNumId="5">
    <w:nsid w:val="00000002"/>
    <w:multiLevelType w:val="multilevel"/>
    <w:tmpl w:val="00000002"/>
    <w:lvl w:ilvl="0" w:tentative="0">
      <w:start w:val="4"/>
      <w:numFmt w:val="bullet"/>
      <w:pStyle w:val="4"/>
      <w:lvlText w:val="□"/>
      <w:lvlJc w:val="left"/>
      <w:pPr>
        <w:tabs>
          <w:tab w:val="left" w:pos="360"/>
        </w:tabs>
        <w:ind w:left="360" w:hanging="360"/>
      </w:pPr>
      <w:rPr>
        <w:rFonts w:hint="eastAsia" w:ascii="宋体" w:hAnsi="宋体" w:eastAsia="宋体"/>
        <w:b/>
        <w:bCs/>
        <w:sz w:val="44"/>
        <w:szCs w:val="44"/>
      </w:rPr>
    </w:lvl>
    <w:lvl w:ilvl="1" w:tentative="0">
      <w:start w:val="1"/>
      <w:numFmt w:val="bullet"/>
      <w:pStyle w:val="5"/>
      <w:lvlText w:val=""/>
      <w:lvlJc w:val="left"/>
      <w:pPr>
        <w:tabs>
          <w:tab w:val="left" w:pos="840"/>
        </w:tabs>
        <w:ind w:left="840" w:hanging="420"/>
      </w:pPr>
      <w:rPr>
        <w:rFonts w:hint="default" w:ascii="Wingdings" w:hAnsi="Wingdings" w:cs="Wingdings"/>
      </w:rPr>
    </w:lvl>
    <w:lvl w:ilvl="2" w:tentative="0">
      <w:start w:val="1"/>
      <w:numFmt w:val="bullet"/>
      <w:pStyle w:val="6"/>
      <w:lvlText w:val=""/>
      <w:lvlJc w:val="left"/>
      <w:pPr>
        <w:tabs>
          <w:tab w:val="left" w:pos="1260"/>
        </w:tabs>
        <w:ind w:left="1260" w:hanging="420"/>
      </w:pPr>
      <w:rPr>
        <w:rFonts w:hint="default" w:ascii="Wingdings" w:hAnsi="Wingdings" w:cs="Wingdings"/>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6">
    <w:nsid w:val="00000003"/>
    <w:multiLevelType w:val="multilevel"/>
    <w:tmpl w:val="00000003"/>
    <w:lvl w:ilvl="0" w:tentative="0">
      <w:start w:val="4"/>
      <w:numFmt w:val="japaneseCounting"/>
      <w:pStyle w:val="39"/>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02043CF"/>
    <w:multiLevelType w:val="multilevel"/>
    <w:tmpl w:val="102043C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0DC7FC0"/>
    <w:multiLevelType w:val="singleLevel"/>
    <w:tmpl w:val="60DC7FC0"/>
    <w:lvl w:ilvl="0" w:tentative="0">
      <w:start w:val="1"/>
      <w:numFmt w:val="decimal"/>
      <w:lvlText w:val="(%1)"/>
      <w:lvlJc w:val="left"/>
      <w:pPr>
        <w:ind w:left="425" w:hanging="425"/>
      </w:pPr>
      <w:rPr>
        <w:rFonts w:hint="default"/>
      </w:rPr>
    </w:lvl>
  </w:abstractNum>
  <w:abstractNum w:abstractNumId="9">
    <w:nsid w:val="6CA837C6"/>
    <w:multiLevelType w:val="multilevel"/>
    <w:tmpl w:val="6CA837C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702EACDB"/>
    <w:multiLevelType w:val="singleLevel"/>
    <w:tmpl w:val="702EACDB"/>
    <w:lvl w:ilvl="0" w:tentative="0">
      <w:start w:val="1"/>
      <w:numFmt w:val="decimal"/>
      <w:lvlText w:val="(%1)"/>
      <w:lvlJc w:val="left"/>
      <w:pPr>
        <w:ind w:left="425" w:hanging="425"/>
      </w:pPr>
      <w:rPr>
        <w:rFonts w:hint="default"/>
      </w:rPr>
    </w:lvl>
  </w:abstractNum>
  <w:abstractNum w:abstractNumId="11">
    <w:nsid w:val="7BB88CCB"/>
    <w:multiLevelType w:val="singleLevel"/>
    <w:tmpl w:val="7BB88CCB"/>
    <w:lvl w:ilvl="0" w:tentative="0">
      <w:start w:val="1"/>
      <w:numFmt w:val="decimal"/>
      <w:lvlText w:val="(%1)"/>
      <w:lvlJc w:val="left"/>
      <w:pPr>
        <w:ind w:left="425" w:hanging="425"/>
      </w:pPr>
      <w:rPr>
        <w:rFonts w:hint="default"/>
      </w:rPr>
    </w:lvl>
  </w:abstractNum>
  <w:num w:numId="1">
    <w:abstractNumId w:val="5"/>
  </w:num>
  <w:num w:numId="2">
    <w:abstractNumId w:val="6"/>
  </w:num>
  <w:num w:numId="3">
    <w:abstractNumId w:val="3"/>
  </w:num>
  <w:num w:numId="4">
    <w:abstractNumId w:val="9"/>
  </w:num>
  <w:num w:numId="5">
    <w:abstractNumId w:val="10"/>
  </w:num>
  <w:num w:numId="6">
    <w:abstractNumId w:val="2"/>
  </w:num>
  <w:num w:numId="7">
    <w:abstractNumId w:val="8"/>
  </w:num>
  <w:num w:numId="8">
    <w:abstractNumId w:val="11"/>
  </w:num>
  <w:num w:numId="9">
    <w:abstractNumId w:val="1"/>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105"/>
  <w:drawingGridVerticalSpacing w:val="159"/>
  <w:displayHorizontalDrawingGridEvery w:val="0"/>
  <w:displayVerticalDrawingGridEvery w:val="2"/>
  <w:doNotShadeFormData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Q5NzU3Y2JkMDBhMjIzZjZiZTgxZjM5YzA3YzQyYTMifQ=="/>
  </w:docVars>
  <w:rsids>
    <w:rsidRoot w:val="00172A27"/>
    <w:rsid w:val="00002E0E"/>
    <w:rsid w:val="000031F3"/>
    <w:rsid w:val="000034E7"/>
    <w:rsid w:val="000038CE"/>
    <w:rsid w:val="00003A52"/>
    <w:rsid w:val="00003CD2"/>
    <w:rsid w:val="00004218"/>
    <w:rsid w:val="0000542C"/>
    <w:rsid w:val="00006790"/>
    <w:rsid w:val="00012499"/>
    <w:rsid w:val="00012F2F"/>
    <w:rsid w:val="00017B7A"/>
    <w:rsid w:val="0002283E"/>
    <w:rsid w:val="000238DE"/>
    <w:rsid w:val="00025548"/>
    <w:rsid w:val="0002644F"/>
    <w:rsid w:val="00032A69"/>
    <w:rsid w:val="0003478D"/>
    <w:rsid w:val="0003640E"/>
    <w:rsid w:val="00037886"/>
    <w:rsid w:val="0004175D"/>
    <w:rsid w:val="00044355"/>
    <w:rsid w:val="0004578A"/>
    <w:rsid w:val="00045BA5"/>
    <w:rsid w:val="00046F3E"/>
    <w:rsid w:val="00047F51"/>
    <w:rsid w:val="00050437"/>
    <w:rsid w:val="00050610"/>
    <w:rsid w:val="00050E06"/>
    <w:rsid w:val="00051399"/>
    <w:rsid w:val="00053900"/>
    <w:rsid w:val="000552DB"/>
    <w:rsid w:val="000564E4"/>
    <w:rsid w:val="000609BE"/>
    <w:rsid w:val="000609D5"/>
    <w:rsid w:val="000616F5"/>
    <w:rsid w:val="00062AA5"/>
    <w:rsid w:val="00065145"/>
    <w:rsid w:val="000667A7"/>
    <w:rsid w:val="000736FE"/>
    <w:rsid w:val="00073991"/>
    <w:rsid w:val="00074C03"/>
    <w:rsid w:val="00075B9D"/>
    <w:rsid w:val="00077B9D"/>
    <w:rsid w:val="00080948"/>
    <w:rsid w:val="000844E7"/>
    <w:rsid w:val="00087E81"/>
    <w:rsid w:val="000900B8"/>
    <w:rsid w:val="000940B5"/>
    <w:rsid w:val="00095C95"/>
    <w:rsid w:val="00095E32"/>
    <w:rsid w:val="000967E5"/>
    <w:rsid w:val="000A0494"/>
    <w:rsid w:val="000A117E"/>
    <w:rsid w:val="000A273E"/>
    <w:rsid w:val="000A39ED"/>
    <w:rsid w:val="000A4277"/>
    <w:rsid w:val="000A4D81"/>
    <w:rsid w:val="000B3EA9"/>
    <w:rsid w:val="000B6571"/>
    <w:rsid w:val="000B7729"/>
    <w:rsid w:val="000C31F5"/>
    <w:rsid w:val="000C3354"/>
    <w:rsid w:val="000C4A1A"/>
    <w:rsid w:val="000C572A"/>
    <w:rsid w:val="000C5AF3"/>
    <w:rsid w:val="000C5BD2"/>
    <w:rsid w:val="000C6C5F"/>
    <w:rsid w:val="000D2B9D"/>
    <w:rsid w:val="000D474F"/>
    <w:rsid w:val="000D66D4"/>
    <w:rsid w:val="000D7DE6"/>
    <w:rsid w:val="000E1676"/>
    <w:rsid w:val="000E3615"/>
    <w:rsid w:val="000E396B"/>
    <w:rsid w:val="000E50CD"/>
    <w:rsid w:val="000E6A82"/>
    <w:rsid w:val="000E71B1"/>
    <w:rsid w:val="000E76D4"/>
    <w:rsid w:val="000F02C3"/>
    <w:rsid w:val="000F070E"/>
    <w:rsid w:val="000F1F6F"/>
    <w:rsid w:val="000F4FA9"/>
    <w:rsid w:val="000F5D34"/>
    <w:rsid w:val="000F66E9"/>
    <w:rsid w:val="000F69A5"/>
    <w:rsid w:val="000F77FF"/>
    <w:rsid w:val="00100856"/>
    <w:rsid w:val="001015F0"/>
    <w:rsid w:val="001017E4"/>
    <w:rsid w:val="0010421C"/>
    <w:rsid w:val="00104227"/>
    <w:rsid w:val="001050F3"/>
    <w:rsid w:val="00107CDB"/>
    <w:rsid w:val="00110C84"/>
    <w:rsid w:val="0011228B"/>
    <w:rsid w:val="00113592"/>
    <w:rsid w:val="001146A4"/>
    <w:rsid w:val="00114A20"/>
    <w:rsid w:val="00116099"/>
    <w:rsid w:val="001200FD"/>
    <w:rsid w:val="001201BE"/>
    <w:rsid w:val="001204C2"/>
    <w:rsid w:val="0012242E"/>
    <w:rsid w:val="00123069"/>
    <w:rsid w:val="0012693B"/>
    <w:rsid w:val="00126E80"/>
    <w:rsid w:val="001273E2"/>
    <w:rsid w:val="001278B9"/>
    <w:rsid w:val="00133F93"/>
    <w:rsid w:val="0013518A"/>
    <w:rsid w:val="00135B9D"/>
    <w:rsid w:val="001371F3"/>
    <w:rsid w:val="00137B7A"/>
    <w:rsid w:val="001416A0"/>
    <w:rsid w:val="00142087"/>
    <w:rsid w:val="00142262"/>
    <w:rsid w:val="00142E5C"/>
    <w:rsid w:val="00143067"/>
    <w:rsid w:val="00143F7E"/>
    <w:rsid w:val="00146A7E"/>
    <w:rsid w:val="001471E5"/>
    <w:rsid w:val="00154443"/>
    <w:rsid w:val="00156224"/>
    <w:rsid w:val="00156509"/>
    <w:rsid w:val="00160024"/>
    <w:rsid w:val="00161015"/>
    <w:rsid w:val="00162406"/>
    <w:rsid w:val="0016326D"/>
    <w:rsid w:val="001634CA"/>
    <w:rsid w:val="001637E7"/>
    <w:rsid w:val="001649EF"/>
    <w:rsid w:val="00165BB8"/>
    <w:rsid w:val="00166768"/>
    <w:rsid w:val="00166917"/>
    <w:rsid w:val="0016712D"/>
    <w:rsid w:val="00167589"/>
    <w:rsid w:val="00167942"/>
    <w:rsid w:val="00170610"/>
    <w:rsid w:val="001713D7"/>
    <w:rsid w:val="00172046"/>
    <w:rsid w:val="00172A27"/>
    <w:rsid w:val="00172C3C"/>
    <w:rsid w:val="00176571"/>
    <w:rsid w:val="00180A89"/>
    <w:rsid w:val="001837C3"/>
    <w:rsid w:val="00183880"/>
    <w:rsid w:val="00184512"/>
    <w:rsid w:val="0018660C"/>
    <w:rsid w:val="00186D47"/>
    <w:rsid w:val="001872B6"/>
    <w:rsid w:val="00187368"/>
    <w:rsid w:val="00191F61"/>
    <w:rsid w:val="001946A3"/>
    <w:rsid w:val="00195F47"/>
    <w:rsid w:val="00196E8E"/>
    <w:rsid w:val="001A0801"/>
    <w:rsid w:val="001A0ACC"/>
    <w:rsid w:val="001A1480"/>
    <w:rsid w:val="001A26F3"/>
    <w:rsid w:val="001A386B"/>
    <w:rsid w:val="001A3E7F"/>
    <w:rsid w:val="001A4562"/>
    <w:rsid w:val="001A50B6"/>
    <w:rsid w:val="001A6F89"/>
    <w:rsid w:val="001B0299"/>
    <w:rsid w:val="001B0EF2"/>
    <w:rsid w:val="001B2354"/>
    <w:rsid w:val="001B3E09"/>
    <w:rsid w:val="001B6359"/>
    <w:rsid w:val="001B64A6"/>
    <w:rsid w:val="001C0B8C"/>
    <w:rsid w:val="001C1AA3"/>
    <w:rsid w:val="001C212C"/>
    <w:rsid w:val="001C2B18"/>
    <w:rsid w:val="001C3A39"/>
    <w:rsid w:val="001C405E"/>
    <w:rsid w:val="001C4E49"/>
    <w:rsid w:val="001C6017"/>
    <w:rsid w:val="001C6224"/>
    <w:rsid w:val="001C64B5"/>
    <w:rsid w:val="001C6B06"/>
    <w:rsid w:val="001C74BF"/>
    <w:rsid w:val="001D0773"/>
    <w:rsid w:val="001D20C0"/>
    <w:rsid w:val="001D2D2C"/>
    <w:rsid w:val="001D572A"/>
    <w:rsid w:val="001D5CDD"/>
    <w:rsid w:val="001D6CF5"/>
    <w:rsid w:val="001D770E"/>
    <w:rsid w:val="001E00E7"/>
    <w:rsid w:val="001E25C2"/>
    <w:rsid w:val="001E6E56"/>
    <w:rsid w:val="001E7422"/>
    <w:rsid w:val="001E7AE0"/>
    <w:rsid w:val="001E7B09"/>
    <w:rsid w:val="001F0197"/>
    <w:rsid w:val="001F1116"/>
    <w:rsid w:val="001F1D70"/>
    <w:rsid w:val="001F2C23"/>
    <w:rsid w:val="001F36AF"/>
    <w:rsid w:val="001F3B36"/>
    <w:rsid w:val="001F3C38"/>
    <w:rsid w:val="001F48CD"/>
    <w:rsid w:val="001F61E2"/>
    <w:rsid w:val="00200000"/>
    <w:rsid w:val="0020054A"/>
    <w:rsid w:val="0020142F"/>
    <w:rsid w:val="002016EA"/>
    <w:rsid w:val="002058F1"/>
    <w:rsid w:val="00205A24"/>
    <w:rsid w:val="0020787B"/>
    <w:rsid w:val="00210F53"/>
    <w:rsid w:val="00211797"/>
    <w:rsid w:val="00213E38"/>
    <w:rsid w:val="002145A8"/>
    <w:rsid w:val="0021548E"/>
    <w:rsid w:val="002157E8"/>
    <w:rsid w:val="00215A7F"/>
    <w:rsid w:val="002167B4"/>
    <w:rsid w:val="0022187B"/>
    <w:rsid w:val="00221EA3"/>
    <w:rsid w:val="0022201D"/>
    <w:rsid w:val="0022545D"/>
    <w:rsid w:val="00225883"/>
    <w:rsid w:val="00230A29"/>
    <w:rsid w:val="002312C8"/>
    <w:rsid w:val="00231E87"/>
    <w:rsid w:val="00231EB6"/>
    <w:rsid w:val="002337FF"/>
    <w:rsid w:val="0023470F"/>
    <w:rsid w:val="002358AD"/>
    <w:rsid w:val="00236774"/>
    <w:rsid w:val="002417C9"/>
    <w:rsid w:val="00241F8F"/>
    <w:rsid w:val="00242042"/>
    <w:rsid w:val="0024228D"/>
    <w:rsid w:val="002440D2"/>
    <w:rsid w:val="00244DC3"/>
    <w:rsid w:val="00244ECC"/>
    <w:rsid w:val="00245192"/>
    <w:rsid w:val="002457E6"/>
    <w:rsid w:val="0024765B"/>
    <w:rsid w:val="002476CB"/>
    <w:rsid w:val="00247A42"/>
    <w:rsid w:val="00250A0E"/>
    <w:rsid w:val="00250A83"/>
    <w:rsid w:val="00250F5F"/>
    <w:rsid w:val="00251669"/>
    <w:rsid w:val="002522E6"/>
    <w:rsid w:val="00252F03"/>
    <w:rsid w:val="00253867"/>
    <w:rsid w:val="00254F2F"/>
    <w:rsid w:val="00255D2A"/>
    <w:rsid w:val="0025690D"/>
    <w:rsid w:val="00256E0F"/>
    <w:rsid w:val="00257C59"/>
    <w:rsid w:val="0026053E"/>
    <w:rsid w:val="00261164"/>
    <w:rsid w:val="00261240"/>
    <w:rsid w:val="00263284"/>
    <w:rsid w:val="00263BD7"/>
    <w:rsid w:val="00267284"/>
    <w:rsid w:val="002677BA"/>
    <w:rsid w:val="00271FBB"/>
    <w:rsid w:val="00272A13"/>
    <w:rsid w:val="00272AC7"/>
    <w:rsid w:val="00273039"/>
    <w:rsid w:val="0027501D"/>
    <w:rsid w:val="0027627F"/>
    <w:rsid w:val="002762D7"/>
    <w:rsid w:val="00277F26"/>
    <w:rsid w:val="002801B5"/>
    <w:rsid w:val="00280214"/>
    <w:rsid w:val="00281014"/>
    <w:rsid w:val="00282205"/>
    <w:rsid w:val="002823BB"/>
    <w:rsid w:val="00282C86"/>
    <w:rsid w:val="00284A2E"/>
    <w:rsid w:val="00284F98"/>
    <w:rsid w:val="00286035"/>
    <w:rsid w:val="002860E6"/>
    <w:rsid w:val="0028628E"/>
    <w:rsid w:val="002865F1"/>
    <w:rsid w:val="00290392"/>
    <w:rsid w:val="00291C5A"/>
    <w:rsid w:val="002933A8"/>
    <w:rsid w:val="002937D2"/>
    <w:rsid w:val="00293C12"/>
    <w:rsid w:val="00293F42"/>
    <w:rsid w:val="00295F55"/>
    <w:rsid w:val="0029652D"/>
    <w:rsid w:val="002A095D"/>
    <w:rsid w:val="002A1F35"/>
    <w:rsid w:val="002A3AC9"/>
    <w:rsid w:val="002A4BE1"/>
    <w:rsid w:val="002A5468"/>
    <w:rsid w:val="002A554D"/>
    <w:rsid w:val="002A71A1"/>
    <w:rsid w:val="002A73F3"/>
    <w:rsid w:val="002B6309"/>
    <w:rsid w:val="002B709A"/>
    <w:rsid w:val="002B7E77"/>
    <w:rsid w:val="002C062F"/>
    <w:rsid w:val="002C08F5"/>
    <w:rsid w:val="002C0D98"/>
    <w:rsid w:val="002C122C"/>
    <w:rsid w:val="002C2CCC"/>
    <w:rsid w:val="002C2EC4"/>
    <w:rsid w:val="002C4723"/>
    <w:rsid w:val="002C4D61"/>
    <w:rsid w:val="002C69F9"/>
    <w:rsid w:val="002C7D78"/>
    <w:rsid w:val="002D2DE3"/>
    <w:rsid w:val="002D356F"/>
    <w:rsid w:val="002D3F55"/>
    <w:rsid w:val="002D479B"/>
    <w:rsid w:val="002D49A3"/>
    <w:rsid w:val="002D6C8E"/>
    <w:rsid w:val="002E06DC"/>
    <w:rsid w:val="002E0823"/>
    <w:rsid w:val="002E1849"/>
    <w:rsid w:val="002E1E1F"/>
    <w:rsid w:val="002E29A4"/>
    <w:rsid w:val="002E3224"/>
    <w:rsid w:val="002E3459"/>
    <w:rsid w:val="002E3791"/>
    <w:rsid w:val="002E660C"/>
    <w:rsid w:val="002E66BD"/>
    <w:rsid w:val="002E77E5"/>
    <w:rsid w:val="002F23FB"/>
    <w:rsid w:val="002F27AD"/>
    <w:rsid w:val="002F387B"/>
    <w:rsid w:val="00300F52"/>
    <w:rsid w:val="00302632"/>
    <w:rsid w:val="00303AD4"/>
    <w:rsid w:val="00304A19"/>
    <w:rsid w:val="00305767"/>
    <w:rsid w:val="00306941"/>
    <w:rsid w:val="00307CFE"/>
    <w:rsid w:val="00310C7A"/>
    <w:rsid w:val="003124E5"/>
    <w:rsid w:val="00312937"/>
    <w:rsid w:val="00312FF5"/>
    <w:rsid w:val="00314C32"/>
    <w:rsid w:val="00314D01"/>
    <w:rsid w:val="00316CA1"/>
    <w:rsid w:val="003171DD"/>
    <w:rsid w:val="00317736"/>
    <w:rsid w:val="00317C8E"/>
    <w:rsid w:val="00321CCB"/>
    <w:rsid w:val="0032281A"/>
    <w:rsid w:val="00323086"/>
    <w:rsid w:val="00327157"/>
    <w:rsid w:val="00327847"/>
    <w:rsid w:val="003316E2"/>
    <w:rsid w:val="00333515"/>
    <w:rsid w:val="00333A41"/>
    <w:rsid w:val="003359CA"/>
    <w:rsid w:val="00335F99"/>
    <w:rsid w:val="00336499"/>
    <w:rsid w:val="00337C19"/>
    <w:rsid w:val="00341F22"/>
    <w:rsid w:val="0034380C"/>
    <w:rsid w:val="00343819"/>
    <w:rsid w:val="00344124"/>
    <w:rsid w:val="00344157"/>
    <w:rsid w:val="00344B05"/>
    <w:rsid w:val="0034585F"/>
    <w:rsid w:val="0034719D"/>
    <w:rsid w:val="00347F41"/>
    <w:rsid w:val="003505E8"/>
    <w:rsid w:val="00350CC1"/>
    <w:rsid w:val="0035218A"/>
    <w:rsid w:val="00352345"/>
    <w:rsid w:val="0036030A"/>
    <w:rsid w:val="00360CD0"/>
    <w:rsid w:val="0036238F"/>
    <w:rsid w:val="00362BB2"/>
    <w:rsid w:val="00362D9D"/>
    <w:rsid w:val="00364DA0"/>
    <w:rsid w:val="003665F7"/>
    <w:rsid w:val="00366657"/>
    <w:rsid w:val="00367B02"/>
    <w:rsid w:val="003709FC"/>
    <w:rsid w:val="003727DD"/>
    <w:rsid w:val="0037477A"/>
    <w:rsid w:val="00374CD5"/>
    <w:rsid w:val="003753C3"/>
    <w:rsid w:val="00375892"/>
    <w:rsid w:val="00377ED2"/>
    <w:rsid w:val="00381FF9"/>
    <w:rsid w:val="00383746"/>
    <w:rsid w:val="00384660"/>
    <w:rsid w:val="00386E7F"/>
    <w:rsid w:val="00387D90"/>
    <w:rsid w:val="00391356"/>
    <w:rsid w:val="0039158E"/>
    <w:rsid w:val="00393017"/>
    <w:rsid w:val="003934C6"/>
    <w:rsid w:val="003935ED"/>
    <w:rsid w:val="003952B9"/>
    <w:rsid w:val="003976A2"/>
    <w:rsid w:val="003A0CC9"/>
    <w:rsid w:val="003A0E59"/>
    <w:rsid w:val="003A10DA"/>
    <w:rsid w:val="003A1DD1"/>
    <w:rsid w:val="003A2755"/>
    <w:rsid w:val="003A3823"/>
    <w:rsid w:val="003A3E10"/>
    <w:rsid w:val="003A504A"/>
    <w:rsid w:val="003A551C"/>
    <w:rsid w:val="003A5B30"/>
    <w:rsid w:val="003A6B8E"/>
    <w:rsid w:val="003B1AD7"/>
    <w:rsid w:val="003B1B8A"/>
    <w:rsid w:val="003B3B99"/>
    <w:rsid w:val="003B4480"/>
    <w:rsid w:val="003B52B6"/>
    <w:rsid w:val="003C048E"/>
    <w:rsid w:val="003C1383"/>
    <w:rsid w:val="003C3075"/>
    <w:rsid w:val="003C678F"/>
    <w:rsid w:val="003C75E2"/>
    <w:rsid w:val="003D067E"/>
    <w:rsid w:val="003D2AB1"/>
    <w:rsid w:val="003D436A"/>
    <w:rsid w:val="003D45FE"/>
    <w:rsid w:val="003D601F"/>
    <w:rsid w:val="003D7582"/>
    <w:rsid w:val="003D78DA"/>
    <w:rsid w:val="003D7D76"/>
    <w:rsid w:val="003E25C5"/>
    <w:rsid w:val="003E2D1A"/>
    <w:rsid w:val="003E6C9A"/>
    <w:rsid w:val="003F0168"/>
    <w:rsid w:val="003F1D1B"/>
    <w:rsid w:val="003F1EFF"/>
    <w:rsid w:val="003F2C87"/>
    <w:rsid w:val="003F2E13"/>
    <w:rsid w:val="003F3768"/>
    <w:rsid w:val="003F38F7"/>
    <w:rsid w:val="003F4820"/>
    <w:rsid w:val="003F5E75"/>
    <w:rsid w:val="003F6380"/>
    <w:rsid w:val="003F6797"/>
    <w:rsid w:val="0040119F"/>
    <w:rsid w:val="004037EC"/>
    <w:rsid w:val="00404019"/>
    <w:rsid w:val="0040409C"/>
    <w:rsid w:val="00405384"/>
    <w:rsid w:val="00406C2D"/>
    <w:rsid w:val="004110BF"/>
    <w:rsid w:val="00411812"/>
    <w:rsid w:val="0041207A"/>
    <w:rsid w:val="00412931"/>
    <w:rsid w:val="004138AC"/>
    <w:rsid w:val="00414B7F"/>
    <w:rsid w:val="004158EA"/>
    <w:rsid w:val="00415989"/>
    <w:rsid w:val="00416A19"/>
    <w:rsid w:val="00416AF2"/>
    <w:rsid w:val="004228C8"/>
    <w:rsid w:val="00422B4D"/>
    <w:rsid w:val="004246CC"/>
    <w:rsid w:val="00427E4E"/>
    <w:rsid w:val="00430188"/>
    <w:rsid w:val="00431812"/>
    <w:rsid w:val="00432EB2"/>
    <w:rsid w:val="00434358"/>
    <w:rsid w:val="0043503F"/>
    <w:rsid w:val="00436D31"/>
    <w:rsid w:val="004379EF"/>
    <w:rsid w:val="004410CA"/>
    <w:rsid w:val="00441AAB"/>
    <w:rsid w:val="004430B4"/>
    <w:rsid w:val="00445714"/>
    <w:rsid w:val="00446B58"/>
    <w:rsid w:val="00447A07"/>
    <w:rsid w:val="00450063"/>
    <w:rsid w:val="00450EFF"/>
    <w:rsid w:val="00450FA7"/>
    <w:rsid w:val="00451F68"/>
    <w:rsid w:val="00453248"/>
    <w:rsid w:val="00455A2B"/>
    <w:rsid w:val="00456C27"/>
    <w:rsid w:val="004626E3"/>
    <w:rsid w:val="004651DA"/>
    <w:rsid w:val="00465FB6"/>
    <w:rsid w:val="00467BC6"/>
    <w:rsid w:val="00467E57"/>
    <w:rsid w:val="00470B61"/>
    <w:rsid w:val="00470EA1"/>
    <w:rsid w:val="00471F1B"/>
    <w:rsid w:val="004731A6"/>
    <w:rsid w:val="00473E15"/>
    <w:rsid w:val="004740C3"/>
    <w:rsid w:val="0047558A"/>
    <w:rsid w:val="00475FDB"/>
    <w:rsid w:val="004761DA"/>
    <w:rsid w:val="00476C23"/>
    <w:rsid w:val="004808AD"/>
    <w:rsid w:val="00480D8F"/>
    <w:rsid w:val="004816A0"/>
    <w:rsid w:val="00482FBA"/>
    <w:rsid w:val="00484119"/>
    <w:rsid w:val="004911BB"/>
    <w:rsid w:val="0049131A"/>
    <w:rsid w:val="00491C34"/>
    <w:rsid w:val="00492290"/>
    <w:rsid w:val="004942C7"/>
    <w:rsid w:val="00495FC2"/>
    <w:rsid w:val="004A0EE1"/>
    <w:rsid w:val="004A102B"/>
    <w:rsid w:val="004A3210"/>
    <w:rsid w:val="004A660A"/>
    <w:rsid w:val="004A7617"/>
    <w:rsid w:val="004B020E"/>
    <w:rsid w:val="004B12BE"/>
    <w:rsid w:val="004B12F5"/>
    <w:rsid w:val="004B151F"/>
    <w:rsid w:val="004B1B5D"/>
    <w:rsid w:val="004B2D29"/>
    <w:rsid w:val="004B2D34"/>
    <w:rsid w:val="004B3397"/>
    <w:rsid w:val="004B3E51"/>
    <w:rsid w:val="004B4629"/>
    <w:rsid w:val="004B720F"/>
    <w:rsid w:val="004B759D"/>
    <w:rsid w:val="004B7E23"/>
    <w:rsid w:val="004C01A0"/>
    <w:rsid w:val="004C028E"/>
    <w:rsid w:val="004C02CE"/>
    <w:rsid w:val="004C0C72"/>
    <w:rsid w:val="004C2B89"/>
    <w:rsid w:val="004C3A9D"/>
    <w:rsid w:val="004C41DA"/>
    <w:rsid w:val="004D3C1D"/>
    <w:rsid w:val="004D3D3A"/>
    <w:rsid w:val="004D4789"/>
    <w:rsid w:val="004D53C2"/>
    <w:rsid w:val="004D56ED"/>
    <w:rsid w:val="004E0369"/>
    <w:rsid w:val="004E1A1B"/>
    <w:rsid w:val="004E1FA4"/>
    <w:rsid w:val="004E21A2"/>
    <w:rsid w:val="004E2F59"/>
    <w:rsid w:val="004E312C"/>
    <w:rsid w:val="004E4B2C"/>
    <w:rsid w:val="004E4B71"/>
    <w:rsid w:val="004E4CAE"/>
    <w:rsid w:val="004E5198"/>
    <w:rsid w:val="004E53A6"/>
    <w:rsid w:val="004E5563"/>
    <w:rsid w:val="004E5F24"/>
    <w:rsid w:val="004E716D"/>
    <w:rsid w:val="004E74C6"/>
    <w:rsid w:val="004F0839"/>
    <w:rsid w:val="004F098E"/>
    <w:rsid w:val="004F4BF1"/>
    <w:rsid w:val="004F506E"/>
    <w:rsid w:val="00504B32"/>
    <w:rsid w:val="00506261"/>
    <w:rsid w:val="00507BC5"/>
    <w:rsid w:val="0051417A"/>
    <w:rsid w:val="00516A33"/>
    <w:rsid w:val="00520CBB"/>
    <w:rsid w:val="005212AF"/>
    <w:rsid w:val="0052173B"/>
    <w:rsid w:val="0052382F"/>
    <w:rsid w:val="00524A0F"/>
    <w:rsid w:val="0052522A"/>
    <w:rsid w:val="00525E11"/>
    <w:rsid w:val="00527BD8"/>
    <w:rsid w:val="00530A51"/>
    <w:rsid w:val="00531A45"/>
    <w:rsid w:val="00536B8D"/>
    <w:rsid w:val="005370A8"/>
    <w:rsid w:val="005371D5"/>
    <w:rsid w:val="0054247E"/>
    <w:rsid w:val="005525DE"/>
    <w:rsid w:val="00553499"/>
    <w:rsid w:val="005538FA"/>
    <w:rsid w:val="00554657"/>
    <w:rsid w:val="00555DB2"/>
    <w:rsid w:val="00556B0B"/>
    <w:rsid w:val="0055712C"/>
    <w:rsid w:val="005574F9"/>
    <w:rsid w:val="00557AB0"/>
    <w:rsid w:val="005606FE"/>
    <w:rsid w:val="005664AF"/>
    <w:rsid w:val="00566AC4"/>
    <w:rsid w:val="00570640"/>
    <w:rsid w:val="00570C1F"/>
    <w:rsid w:val="00571449"/>
    <w:rsid w:val="00571717"/>
    <w:rsid w:val="00571E38"/>
    <w:rsid w:val="005729CC"/>
    <w:rsid w:val="00572E44"/>
    <w:rsid w:val="005737FF"/>
    <w:rsid w:val="00573A78"/>
    <w:rsid w:val="005760BC"/>
    <w:rsid w:val="005777F1"/>
    <w:rsid w:val="0058099C"/>
    <w:rsid w:val="00584BF8"/>
    <w:rsid w:val="00585371"/>
    <w:rsid w:val="00585416"/>
    <w:rsid w:val="005867D0"/>
    <w:rsid w:val="00586A2A"/>
    <w:rsid w:val="00586A92"/>
    <w:rsid w:val="005937DC"/>
    <w:rsid w:val="00593A34"/>
    <w:rsid w:val="00595A55"/>
    <w:rsid w:val="005A0388"/>
    <w:rsid w:val="005A0722"/>
    <w:rsid w:val="005A1B2D"/>
    <w:rsid w:val="005A1F4D"/>
    <w:rsid w:val="005A46B9"/>
    <w:rsid w:val="005A5808"/>
    <w:rsid w:val="005A6A13"/>
    <w:rsid w:val="005A7729"/>
    <w:rsid w:val="005A7885"/>
    <w:rsid w:val="005B0170"/>
    <w:rsid w:val="005B037D"/>
    <w:rsid w:val="005B0438"/>
    <w:rsid w:val="005B0A15"/>
    <w:rsid w:val="005B0CCE"/>
    <w:rsid w:val="005B4A1E"/>
    <w:rsid w:val="005B55B2"/>
    <w:rsid w:val="005C0995"/>
    <w:rsid w:val="005C1B38"/>
    <w:rsid w:val="005C3FC2"/>
    <w:rsid w:val="005C5720"/>
    <w:rsid w:val="005C5C2A"/>
    <w:rsid w:val="005C714B"/>
    <w:rsid w:val="005C725D"/>
    <w:rsid w:val="005C7E10"/>
    <w:rsid w:val="005D0E94"/>
    <w:rsid w:val="005D18F1"/>
    <w:rsid w:val="005D2453"/>
    <w:rsid w:val="005D28B3"/>
    <w:rsid w:val="005D533D"/>
    <w:rsid w:val="005D64FA"/>
    <w:rsid w:val="005D66B4"/>
    <w:rsid w:val="005D7154"/>
    <w:rsid w:val="005D7F86"/>
    <w:rsid w:val="005E1433"/>
    <w:rsid w:val="005E1ACD"/>
    <w:rsid w:val="005E1C3A"/>
    <w:rsid w:val="005E1DEF"/>
    <w:rsid w:val="005F0F47"/>
    <w:rsid w:val="005F3FBA"/>
    <w:rsid w:val="005F476E"/>
    <w:rsid w:val="005F6576"/>
    <w:rsid w:val="005F6ADF"/>
    <w:rsid w:val="005F7B74"/>
    <w:rsid w:val="00601C5B"/>
    <w:rsid w:val="00604529"/>
    <w:rsid w:val="0060503B"/>
    <w:rsid w:val="00611DB1"/>
    <w:rsid w:val="006159A1"/>
    <w:rsid w:val="00615A3A"/>
    <w:rsid w:val="00616B1D"/>
    <w:rsid w:val="00616BB5"/>
    <w:rsid w:val="00617051"/>
    <w:rsid w:val="00617239"/>
    <w:rsid w:val="00620326"/>
    <w:rsid w:val="0062065F"/>
    <w:rsid w:val="00621057"/>
    <w:rsid w:val="00622465"/>
    <w:rsid w:val="00622BFB"/>
    <w:rsid w:val="00622C01"/>
    <w:rsid w:val="006233A3"/>
    <w:rsid w:val="006247E9"/>
    <w:rsid w:val="00624E7A"/>
    <w:rsid w:val="00626330"/>
    <w:rsid w:val="00631980"/>
    <w:rsid w:val="00631F3F"/>
    <w:rsid w:val="00631FAD"/>
    <w:rsid w:val="0063381A"/>
    <w:rsid w:val="00634DC1"/>
    <w:rsid w:val="006426D6"/>
    <w:rsid w:val="00644321"/>
    <w:rsid w:val="00645B54"/>
    <w:rsid w:val="00650377"/>
    <w:rsid w:val="00651A60"/>
    <w:rsid w:val="00651BB9"/>
    <w:rsid w:val="00653CC5"/>
    <w:rsid w:val="006544FF"/>
    <w:rsid w:val="00654BE0"/>
    <w:rsid w:val="0065526F"/>
    <w:rsid w:val="00655A2E"/>
    <w:rsid w:val="00656140"/>
    <w:rsid w:val="00656507"/>
    <w:rsid w:val="0066010A"/>
    <w:rsid w:val="00661EF9"/>
    <w:rsid w:val="0066205A"/>
    <w:rsid w:val="00663479"/>
    <w:rsid w:val="006650F0"/>
    <w:rsid w:val="006651C1"/>
    <w:rsid w:val="00665444"/>
    <w:rsid w:val="00666477"/>
    <w:rsid w:val="006667DB"/>
    <w:rsid w:val="00670D3A"/>
    <w:rsid w:val="0067401C"/>
    <w:rsid w:val="006749BA"/>
    <w:rsid w:val="00675AEE"/>
    <w:rsid w:val="00676F53"/>
    <w:rsid w:val="00677FF3"/>
    <w:rsid w:val="006801DF"/>
    <w:rsid w:val="00683F58"/>
    <w:rsid w:val="006846AF"/>
    <w:rsid w:val="00684BCE"/>
    <w:rsid w:val="00685084"/>
    <w:rsid w:val="00685EF3"/>
    <w:rsid w:val="00690155"/>
    <w:rsid w:val="00693772"/>
    <w:rsid w:val="00696D96"/>
    <w:rsid w:val="00696DD8"/>
    <w:rsid w:val="00696F71"/>
    <w:rsid w:val="006A203E"/>
    <w:rsid w:val="006A31A6"/>
    <w:rsid w:val="006A360E"/>
    <w:rsid w:val="006A4D82"/>
    <w:rsid w:val="006A7493"/>
    <w:rsid w:val="006A7D58"/>
    <w:rsid w:val="006B12EC"/>
    <w:rsid w:val="006B19C1"/>
    <w:rsid w:val="006B25DF"/>
    <w:rsid w:val="006B275B"/>
    <w:rsid w:val="006B278C"/>
    <w:rsid w:val="006B2FA8"/>
    <w:rsid w:val="006B48B3"/>
    <w:rsid w:val="006B61A5"/>
    <w:rsid w:val="006C38D3"/>
    <w:rsid w:val="006C5467"/>
    <w:rsid w:val="006C59E0"/>
    <w:rsid w:val="006C5B04"/>
    <w:rsid w:val="006C5F70"/>
    <w:rsid w:val="006C6476"/>
    <w:rsid w:val="006C74AD"/>
    <w:rsid w:val="006D1D0D"/>
    <w:rsid w:val="006D2D2C"/>
    <w:rsid w:val="006D2FAE"/>
    <w:rsid w:val="006D357F"/>
    <w:rsid w:val="006D4DF2"/>
    <w:rsid w:val="006D56E0"/>
    <w:rsid w:val="006D5954"/>
    <w:rsid w:val="006D6FC4"/>
    <w:rsid w:val="006E0117"/>
    <w:rsid w:val="006E1733"/>
    <w:rsid w:val="006E28FB"/>
    <w:rsid w:val="006E42A4"/>
    <w:rsid w:val="006E7633"/>
    <w:rsid w:val="006E7CF8"/>
    <w:rsid w:val="006E7F24"/>
    <w:rsid w:val="006F0C6A"/>
    <w:rsid w:val="006F0CB4"/>
    <w:rsid w:val="006F2EAB"/>
    <w:rsid w:val="006F4032"/>
    <w:rsid w:val="006F66B2"/>
    <w:rsid w:val="006F7794"/>
    <w:rsid w:val="007004FF"/>
    <w:rsid w:val="00700B20"/>
    <w:rsid w:val="0070794B"/>
    <w:rsid w:val="0071036D"/>
    <w:rsid w:val="007127A9"/>
    <w:rsid w:val="007136BF"/>
    <w:rsid w:val="00714CF7"/>
    <w:rsid w:val="00721095"/>
    <w:rsid w:val="00722296"/>
    <w:rsid w:val="007246FC"/>
    <w:rsid w:val="00724CAE"/>
    <w:rsid w:val="007256C0"/>
    <w:rsid w:val="0072640A"/>
    <w:rsid w:val="007304AF"/>
    <w:rsid w:val="00731F89"/>
    <w:rsid w:val="007330E4"/>
    <w:rsid w:val="007354DF"/>
    <w:rsid w:val="007364E8"/>
    <w:rsid w:val="00736A1C"/>
    <w:rsid w:val="007373B1"/>
    <w:rsid w:val="0073749A"/>
    <w:rsid w:val="00740B80"/>
    <w:rsid w:val="0074110E"/>
    <w:rsid w:val="007412C6"/>
    <w:rsid w:val="00742D7F"/>
    <w:rsid w:val="00742E04"/>
    <w:rsid w:val="00743E4F"/>
    <w:rsid w:val="00744289"/>
    <w:rsid w:val="00744DC8"/>
    <w:rsid w:val="007465C9"/>
    <w:rsid w:val="00746CE9"/>
    <w:rsid w:val="00751D26"/>
    <w:rsid w:val="00751E22"/>
    <w:rsid w:val="00752AF7"/>
    <w:rsid w:val="00752E66"/>
    <w:rsid w:val="00753427"/>
    <w:rsid w:val="0075390F"/>
    <w:rsid w:val="007542EE"/>
    <w:rsid w:val="007557C8"/>
    <w:rsid w:val="00755B81"/>
    <w:rsid w:val="0075654A"/>
    <w:rsid w:val="00756B7C"/>
    <w:rsid w:val="007576D7"/>
    <w:rsid w:val="00757B5E"/>
    <w:rsid w:val="00760614"/>
    <w:rsid w:val="00761DB6"/>
    <w:rsid w:val="00764151"/>
    <w:rsid w:val="0076527F"/>
    <w:rsid w:val="00767356"/>
    <w:rsid w:val="00770125"/>
    <w:rsid w:val="00774A1F"/>
    <w:rsid w:val="00774D4F"/>
    <w:rsid w:val="00777BEA"/>
    <w:rsid w:val="00780FD3"/>
    <w:rsid w:val="0078120D"/>
    <w:rsid w:val="00781E61"/>
    <w:rsid w:val="00783ADA"/>
    <w:rsid w:val="00784D82"/>
    <w:rsid w:val="007856DE"/>
    <w:rsid w:val="00786FC8"/>
    <w:rsid w:val="007873A6"/>
    <w:rsid w:val="00787A9F"/>
    <w:rsid w:val="00790D9D"/>
    <w:rsid w:val="00792FF0"/>
    <w:rsid w:val="007931E7"/>
    <w:rsid w:val="007937D5"/>
    <w:rsid w:val="00793C68"/>
    <w:rsid w:val="00794BAD"/>
    <w:rsid w:val="00796484"/>
    <w:rsid w:val="007967EF"/>
    <w:rsid w:val="007A16E9"/>
    <w:rsid w:val="007A1E91"/>
    <w:rsid w:val="007A222F"/>
    <w:rsid w:val="007A2AAC"/>
    <w:rsid w:val="007A31E4"/>
    <w:rsid w:val="007A4392"/>
    <w:rsid w:val="007A5B01"/>
    <w:rsid w:val="007A6482"/>
    <w:rsid w:val="007B1BF1"/>
    <w:rsid w:val="007B30F3"/>
    <w:rsid w:val="007B47AC"/>
    <w:rsid w:val="007B5571"/>
    <w:rsid w:val="007B739C"/>
    <w:rsid w:val="007B7AAA"/>
    <w:rsid w:val="007C0914"/>
    <w:rsid w:val="007C2668"/>
    <w:rsid w:val="007C3E11"/>
    <w:rsid w:val="007D0045"/>
    <w:rsid w:val="007D0555"/>
    <w:rsid w:val="007D0BE9"/>
    <w:rsid w:val="007D1864"/>
    <w:rsid w:val="007D226F"/>
    <w:rsid w:val="007D298A"/>
    <w:rsid w:val="007D53E6"/>
    <w:rsid w:val="007D73C6"/>
    <w:rsid w:val="007D7F8E"/>
    <w:rsid w:val="007E1D0A"/>
    <w:rsid w:val="007E3069"/>
    <w:rsid w:val="007E3940"/>
    <w:rsid w:val="007E4CAB"/>
    <w:rsid w:val="007F0968"/>
    <w:rsid w:val="007F0E77"/>
    <w:rsid w:val="007F1F16"/>
    <w:rsid w:val="007F207C"/>
    <w:rsid w:val="007F2658"/>
    <w:rsid w:val="007F2B28"/>
    <w:rsid w:val="007F542C"/>
    <w:rsid w:val="007F5973"/>
    <w:rsid w:val="007F6803"/>
    <w:rsid w:val="007F771B"/>
    <w:rsid w:val="00802C9F"/>
    <w:rsid w:val="00803880"/>
    <w:rsid w:val="00803C65"/>
    <w:rsid w:val="00803FE2"/>
    <w:rsid w:val="0080614F"/>
    <w:rsid w:val="00807DD4"/>
    <w:rsid w:val="008115FC"/>
    <w:rsid w:val="00812252"/>
    <w:rsid w:val="0081401A"/>
    <w:rsid w:val="0081506B"/>
    <w:rsid w:val="00817246"/>
    <w:rsid w:val="00820D1A"/>
    <w:rsid w:val="00822A27"/>
    <w:rsid w:val="0082325A"/>
    <w:rsid w:val="008329B6"/>
    <w:rsid w:val="00833264"/>
    <w:rsid w:val="0083331A"/>
    <w:rsid w:val="008333C4"/>
    <w:rsid w:val="00833FC0"/>
    <w:rsid w:val="008369FA"/>
    <w:rsid w:val="0084142E"/>
    <w:rsid w:val="008425DA"/>
    <w:rsid w:val="00842826"/>
    <w:rsid w:val="0084291E"/>
    <w:rsid w:val="0084301B"/>
    <w:rsid w:val="0084374A"/>
    <w:rsid w:val="00844064"/>
    <w:rsid w:val="00844137"/>
    <w:rsid w:val="0084426A"/>
    <w:rsid w:val="00844AD3"/>
    <w:rsid w:val="00844AD4"/>
    <w:rsid w:val="008467CD"/>
    <w:rsid w:val="008468AC"/>
    <w:rsid w:val="0084693F"/>
    <w:rsid w:val="008474FD"/>
    <w:rsid w:val="00851233"/>
    <w:rsid w:val="0085239E"/>
    <w:rsid w:val="0085478F"/>
    <w:rsid w:val="008556B5"/>
    <w:rsid w:val="00856B90"/>
    <w:rsid w:val="00857378"/>
    <w:rsid w:val="0086036E"/>
    <w:rsid w:val="00861194"/>
    <w:rsid w:val="00861624"/>
    <w:rsid w:val="008619DA"/>
    <w:rsid w:val="00862BF7"/>
    <w:rsid w:val="00864A9F"/>
    <w:rsid w:val="00865959"/>
    <w:rsid w:val="00865BC5"/>
    <w:rsid w:val="00866049"/>
    <w:rsid w:val="0086619C"/>
    <w:rsid w:val="00866630"/>
    <w:rsid w:val="008722AE"/>
    <w:rsid w:val="0087462D"/>
    <w:rsid w:val="008759F1"/>
    <w:rsid w:val="00876B52"/>
    <w:rsid w:val="00881715"/>
    <w:rsid w:val="00885111"/>
    <w:rsid w:val="00886933"/>
    <w:rsid w:val="008870CE"/>
    <w:rsid w:val="00890F29"/>
    <w:rsid w:val="008921F8"/>
    <w:rsid w:val="008960FD"/>
    <w:rsid w:val="00896684"/>
    <w:rsid w:val="008974B5"/>
    <w:rsid w:val="00897F69"/>
    <w:rsid w:val="008A08A7"/>
    <w:rsid w:val="008A1533"/>
    <w:rsid w:val="008A23AA"/>
    <w:rsid w:val="008A583B"/>
    <w:rsid w:val="008B08FD"/>
    <w:rsid w:val="008B2CE6"/>
    <w:rsid w:val="008B4770"/>
    <w:rsid w:val="008B566C"/>
    <w:rsid w:val="008B5686"/>
    <w:rsid w:val="008B6C47"/>
    <w:rsid w:val="008B6E1C"/>
    <w:rsid w:val="008C0BC7"/>
    <w:rsid w:val="008C17D8"/>
    <w:rsid w:val="008C4756"/>
    <w:rsid w:val="008C580D"/>
    <w:rsid w:val="008C65A3"/>
    <w:rsid w:val="008C72C9"/>
    <w:rsid w:val="008C79D9"/>
    <w:rsid w:val="008C7B87"/>
    <w:rsid w:val="008D0E3C"/>
    <w:rsid w:val="008D20BA"/>
    <w:rsid w:val="008D2C89"/>
    <w:rsid w:val="008D2F39"/>
    <w:rsid w:val="008D33F1"/>
    <w:rsid w:val="008D36CE"/>
    <w:rsid w:val="008D4A8F"/>
    <w:rsid w:val="008D77EB"/>
    <w:rsid w:val="008D795B"/>
    <w:rsid w:val="008E0E21"/>
    <w:rsid w:val="008E181D"/>
    <w:rsid w:val="008E23FF"/>
    <w:rsid w:val="008E384C"/>
    <w:rsid w:val="008E3FB8"/>
    <w:rsid w:val="008E4C52"/>
    <w:rsid w:val="008E57C0"/>
    <w:rsid w:val="008F0003"/>
    <w:rsid w:val="008F27A6"/>
    <w:rsid w:val="008F458E"/>
    <w:rsid w:val="008F4F86"/>
    <w:rsid w:val="008F5389"/>
    <w:rsid w:val="008F5487"/>
    <w:rsid w:val="008F5F1D"/>
    <w:rsid w:val="008F64D9"/>
    <w:rsid w:val="008F77B1"/>
    <w:rsid w:val="008F7BA8"/>
    <w:rsid w:val="00900442"/>
    <w:rsid w:val="009047B6"/>
    <w:rsid w:val="00904FE4"/>
    <w:rsid w:val="009075C8"/>
    <w:rsid w:val="009110FE"/>
    <w:rsid w:val="009137B3"/>
    <w:rsid w:val="00914031"/>
    <w:rsid w:val="00914D66"/>
    <w:rsid w:val="009169C0"/>
    <w:rsid w:val="00916C6D"/>
    <w:rsid w:val="0092044D"/>
    <w:rsid w:val="009240FF"/>
    <w:rsid w:val="00924DFA"/>
    <w:rsid w:val="0092608B"/>
    <w:rsid w:val="00927C2F"/>
    <w:rsid w:val="009332FD"/>
    <w:rsid w:val="00936586"/>
    <w:rsid w:val="00941866"/>
    <w:rsid w:val="00941F63"/>
    <w:rsid w:val="00942436"/>
    <w:rsid w:val="009442A2"/>
    <w:rsid w:val="00944D0D"/>
    <w:rsid w:val="00945A64"/>
    <w:rsid w:val="009471B5"/>
    <w:rsid w:val="00950DD0"/>
    <w:rsid w:val="00951A14"/>
    <w:rsid w:val="009531F0"/>
    <w:rsid w:val="009537D2"/>
    <w:rsid w:val="00954B9F"/>
    <w:rsid w:val="00956418"/>
    <w:rsid w:val="00957BE0"/>
    <w:rsid w:val="00960E57"/>
    <w:rsid w:val="00965062"/>
    <w:rsid w:val="00965BC0"/>
    <w:rsid w:val="0096630F"/>
    <w:rsid w:val="009670D6"/>
    <w:rsid w:val="00967EBE"/>
    <w:rsid w:val="0097097D"/>
    <w:rsid w:val="00970B0F"/>
    <w:rsid w:val="00972398"/>
    <w:rsid w:val="00974811"/>
    <w:rsid w:val="00974E95"/>
    <w:rsid w:val="009825BA"/>
    <w:rsid w:val="00984217"/>
    <w:rsid w:val="00984E5E"/>
    <w:rsid w:val="00985F11"/>
    <w:rsid w:val="0098686B"/>
    <w:rsid w:val="009869E5"/>
    <w:rsid w:val="00986BE8"/>
    <w:rsid w:val="00987AB6"/>
    <w:rsid w:val="00987B45"/>
    <w:rsid w:val="00987D33"/>
    <w:rsid w:val="009900CD"/>
    <w:rsid w:val="00990732"/>
    <w:rsid w:val="00990AE7"/>
    <w:rsid w:val="00990B9C"/>
    <w:rsid w:val="00992785"/>
    <w:rsid w:val="009937EF"/>
    <w:rsid w:val="00994554"/>
    <w:rsid w:val="00994B1C"/>
    <w:rsid w:val="00996D03"/>
    <w:rsid w:val="00997D0E"/>
    <w:rsid w:val="009A163B"/>
    <w:rsid w:val="009A25F3"/>
    <w:rsid w:val="009A38C9"/>
    <w:rsid w:val="009A4821"/>
    <w:rsid w:val="009A5C2C"/>
    <w:rsid w:val="009A7101"/>
    <w:rsid w:val="009A75D5"/>
    <w:rsid w:val="009B0747"/>
    <w:rsid w:val="009B0E28"/>
    <w:rsid w:val="009B1200"/>
    <w:rsid w:val="009B1510"/>
    <w:rsid w:val="009B2A07"/>
    <w:rsid w:val="009B306D"/>
    <w:rsid w:val="009B6412"/>
    <w:rsid w:val="009C062D"/>
    <w:rsid w:val="009C2556"/>
    <w:rsid w:val="009C2C38"/>
    <w:rsid w:val="009C39DB"/>
    <w:rsid w:val="009C5CA2"/>
    <w:rsid w:val="009D00D0"/>
    <w:rsid w:val="009D39DD"/>
    <w:rsid w:val="009D51E4"/>
    <w:rsid w:val="009D6B96"/>
    <w:rsid w:val="009E3853"/>
    <w:rsid w:val="009E5DE3"/>
    <w:rsid w:val="009E6533"/>
    <w:rsid w:val="009E6C0F"/>
    <w:rsid w:val="009E7920"/>
    <w:rsid w:val="009F17B3"/>
    <w:rsid w:val="009F4FDE"/>
    <w:rsid w:val="009F61BC"/>
    <w:rsid w:val="009F6594"/>
    <w:rsid w:val="00A01CF2"/>
    <w:rsid w:val="00A03280"/>
    <w:rsid w:val="00A03B6F"/>
    <w:rsid w:val="00A0485A"/>
    <w:rsid w:val="00A0546D"/>
    <w:rsid w:val="00A05472"/>
    <w:rsid w:val="00A06688"/>
    <w:rsid w:val="00A07F0A"/>
    <w:rsid w:val="00A15FE2"/>
    <w:rsid w:val="00A16AE4"/>
    <w:rsid w:val="00A16E6E"/>
    <w:rsid w:val="00A204D5"/>
    <w:rsid w:val="00A21269"/>
    <w:rsid w:val="00A246B7"/>
    <w:rsid w:val="00A25774"/>
    <w:rsid w:val="00A26057"/>
    <w:rsid w:val="00A308CF"/>
    <w:rsid w:val="00A32511"/>
    <w:rsid w:val="00A32EA5"/>
    <w:rsid w:val="00A33963"/>
    <w:rsid w:val="00A35F93"/>
    <w:rsid w:val="00A36C30"/>
    <w:rsid w:val="00A41204"/>
    <w:rsid w:val="00A44334"/>
    <w:rsid w:val="00A44726"/>
    <w:rsid w:val="00A4548A"/>
    <w:rsid w:val="00A47D0A"/>
    <w:rsid w:val="00A51489"/>
    <w:rsid w:val="00A55783"/>
    <w:rsid w:val="00A5590C"/>
    <w:rsid w:val="00A55A44"/>
    <w:rsid w:val="00A5770D"/>
    <w:rsid w:val="00A612A4"/>
    <w:rsid w:val="00A64C6E"/>
    <w:rsid w:val="00A66191"/>
    <w:rsid w:val="00A7136E"/>
    <w:rsid w:val="00A717CB"/>
    <w:rsid w:val="00A72E9C"/>
    <w:rsid w:val="00A73154"/>
    <w:rsid w:val="00A73744"/>
    <w:rsid w:val="00A74388"/>
    <w:rsid w:val="00A74838"/>
    <w:rsid w:val="00A772D6"/>
    <w:rsid w:val="00A80DFB"/>
    <w:rsid w:val="00A83780"/>
    <w:rsid w:val="00A84A3C"/>
    <w:rsid w:val="00A851F9"/>
    <w:rsid w:val="00A8585F"/>
    <w:rsid w:val="00A87D29"/>
    <w:rsid w:val="00A9134B"/>
    <w:rsid w:val="00A91AF7"/>
    <w:rsid w:val="00A93A41"/>
    <w:rsid w:val="00A94DC2"/>
    <w:rsid w:val="00A96E51"/>
    <w:rsid w:val="00AA066D"/>
    <w:rsid w:val="00AA0EE7"/>
    <w:rsid w:val="00AA167C"/>
    <w:rsid w:val="00AA624C"/>
    <w:rsid w:val="00AA6A04"/>
    <w:rsid w:val="00AB1BC3"/>
    <w:rsid w:val="00AB3CC8"/>
    <w:rsid w:val="00AB5B83"/>
    <w:rsid w:val="00AB5EFF"/>
    <w:rsid w:val="00AC39A3"/>
    <w:rsid w:val="00AC3BF5"/>
    <w:rsid w:val="00AD3ABE"/>
    <w:rsid w:val="00AD5AF6"/>
    <w:rsid w:val="00AE0360"/>
    <w:rsid w:val="00AE0D98"/>
    <w:rsid w:val="00AE26F0"/>
    <w:rsid w:val="00AE325A"/>
    <w:rsid w:val="00AE376E"/>
    <w:rsid w:val="00AF0601"/>
    <w:rsid w:val="00AF104F"/>
    <w:rsid w:val="00AF13D6"/>
    <w:rsid w:val="00AF1A2B"/>
    <w:rsid w:val="00AF1A84"/>
    <w:rsid w:val="00AF1D08"/>
    <w:rsid w:val="00AF29F0"/>
    <w:rsid w:val="00AF35E3"/>
    <w:rsid w:val="00AF4460"/>
    <w:rsid w:val="00AF6121"/>
    <w:rsid w:val="00AF6F47"/>
    <w:rsid w:val="00AF73E2"/>
    <w:rsid w:val="00B014AC"/>
    <w:rsid w:val="00B01AB4"/>
    <w:rsid w:val="00B02AA2"/>
    <w:rsid w:val="00B0387A"/>
    <w:rsid w:val="00B04469"/>
    <w:rsid w:val="00B0481A"/>
    <w:rsid w:val="00B05287"/>
    <w:rsid w:val="00B05D8F"/>
    <w:rsid w:val="00B05E5C"/>
    <w:rsid w:val="00B06FBF"/>
    <w:rsid w:val="00B11868"/>
    <w:rsid w:val="00B131BF"/>
    <w:rsid w:val="00B13466"/>
    <w:rsid w:val="00B1413C"/>
    <w:rsid w:val="00B1441E"/>
    <w:rsid w:val="00B16369"/>
    <w:rsid w:val="00B16414"/>
    <w:rsid w:val="00B16714"/>
    <w:rsid w:val="00B169C3"/>
    <w:rsid w:val="00B17A7E"/>
    <w:rsid w:val="00B22455"/>
    <w:rsid w:val="00B2320A"/>
    <w:rsid w:val="00B241BF"/>
    <w:rsid w:val="00B27BB4"/>
    <w:rsid w:val="00B300DA"/>
    <w:rsid w:val="00B30162"/>
    <w:rsid w:val="00B30CD7"/>
    <w:rsid w:val="00B318B2"/>
    <w:rsid w:val="00B33364"/>
    <w:rsid w:val="00B336ED"/>
    <w:rsid w:val="00B34365"/>
    <w:rsid w:val="00B34C96"/>
    <w:rsid w:val="00B34EFC"/>
    <w:rsid w:val="00B352A2"/>
    <w:rsid w:val="00B361F6"/>
    <w:rsid w:val="00B36739"/>
    <w:rsid w:val="00B401AA"/>
    <w:rsid w:val="00B42AFD"/>
    <w:rsid w:val="00B43400"/>
    <w:rsid w:val="00B4351C"/>
    <w:rsid w:val="00B44219"/>
    <w:rsid w:val="00B44E17"/>
    <w:rsid w:val="00B50728"/>
    <w:rsid w:val="00B53018"/>
    <w:rsid w:val="00B53BA2"/>
    <w:rsid w:val="00B541DE"/>
    <w:rsid w:val="00B62359"/>
    <w:rsid w:val="00B62458"/>
    <w:rsid w:val="00B62DC3"/>
    <w:rsid w:val="00B642A8"/>
    <w:rsid w:val="00B65FD5"/>
    <w:rsid w:val="00B666E1"/>
    <w:rsid w:val="00B71198"/>
    <w:rsid w:val="00B71DF4"/>
    <w:rsid w:val="00B7267A"/>
    <w:rsid w:val="00B76232"/>
    <w:rsid w:val="00B7636F"/>
    <w:rsid w:val="00B765E1"/>
    <w:rsid w:val="00B76D1B"/>
    <w:rsid w:val="00B771EE"/>
    <w:rsid w:val="00B77D39"/>
    <w:rsid w:val="00B8060A"/>
    <w:rsid w:val="00B80C69"/>
    <w:rsid w:val="00B8188A"/>
    <w:rsid w:val="00B81989"/>
    <w:rsid w:val="00B83D68"/>
    <w:rsid w:val="00B90777"/>
    <w:rsid w:val="00B90A69"/>
    <w:rsid w:val="00B90D88"/>
    <w:rsid w:val="00B92251"/>
    <w:rsid w:val="00B93D0D"/>
    <w:rsid w:val="00B93E25"/>
    <w:rsid w:val="00B94E28"/>
    <w:rsid w:val="00B95747"/>
    <w:rsid w:val="00B9709C"/>
    <w:rsid w:val="00B97B4E"/>
    <w:rsid w:val="00BA00F8"/>
    <w:rsid w:val="00BA0C95"/>
    <w:rsid w:val="00BA1607"/>
    <w:rsid w:val="00BA3027"/>
    <w:rsid w:val="00BA3EA8"/>
    <w:rsid w:val="00BA4D5A"/>
    <w:rsid w:val="00BA650B"/>
    <w:rsid w:val="00BA6EFE"/>
    <w:rsid w:val="00BB0E7D"/>
    <w:rsid w:val="00BB1B8C"/>
    <w:rsid w:val="00BB465D"/>
    <w:rsid w:val="00BB4C3D"/>
    <w:rsid w:val="00BB55D5"/>
    <w:rsid w:val="00BB5D94"/>
    <w:rsid w:val="00BC1311"/>
    <w:rsid w:val="00BC134D"/>
    <w:rsid w:val="00BC307E"/>
    <w:rsid w:val="00BC37D3"/>
    <w:rsid w:val="00BC3831"/>
    <w:rsid w:val="00BC5E36"/>
    <w:rsid w:val="00BC62C1"/>
    <w:rsid w:val="00BC63D0"/>
    <w:rsid w:val="00BC72E1"/>
    <w:rsid w:val="00BD1E89"/>
    <w:rsid w:val="00BD2E40"/>
    <w:rsid w:val="00BD49E6"/>
    <w:rsid w:val="00BD6F56"/>
    <w:rsid w:val="00BE002C"/>
    <w:rsid w:val="00BE30E8"/>
    <w:rsid w:val="00BE30F3"/>
    <w:rsid w:val="00BE3653"/>
    <w:rsid w:val="00BE652D"/>
    <w:rsid w:val="00BE657E"/>
    <w:rsid w:val="00BE7F87"/>
    <w:rsid w:val="00BF102C"/>
    <w:rsid w:val="00BF3B7D"/>
    <w:rsid w:val="00BF3F75"/>
    <w:rsid w:val="00BF43A9"/>
    <w:rsid w:val="00BF48EE"/>
    <w:rsid w:val="00BF4AB6"/>
    <w:rsid w:val="00BF6860"/>
    <w:rsid w:val="00BF70D6"/>
    <w:rsid w:val="00BF765F"/>
    <w:rsid w:val="00BF7BBD"/>
    <w:rsid w:val="00BF7C64"/>
    <w:rsid w:val="00C00531"/>
    <w:rsid w:val="00C02587"/>
    <w:rsid w:val="00C02A4E"/>
    <w:rsid w:val="00C035B9"/>
    <w:rsid w:val="00C037F1"/>
    <w:rsid w:val="00C039E6"/>
    <w:rsid w:val="00C03BC7"/>
    <w:rsid w:val="00C045FF"/>
    <w:rsid w:val="00C04E09"/>
    <w:rsid w:val="00C04FBB"/>
    <w:rsid w:val="00C06C84"/>
    <w:rsid w:val="00C100FD"/>
    <w:rsid w:val="00C10D05"/>
    <w:rsid w:val="00C11C13"/>
    <w:rsid w:val="00C126C2"/>
    <w:rsid w:val="00C130C4"/>
    <w:rsid w:val="00C13E25"/>
    <w:rsid w:val="00C15F7E"/>
    <w:rsid w:val="00C1645E"/>
    <w:rsid w:val="00C16911"/>
    <w:rsid w:val="00C1754A"/>
    <w:rsid w:val="00C21ACB"/>
    <w:rsid w:val="00C22E0B"/>
    <w:rsid w:val="00C22F14"/>
    <w:rsid w:val="00C23E74"/>
    <w:rsid w:val="00C2513C"/>
    <w:rsid w:val="00C25320"/>
    <w:rsid w:val="00C3011E"/>
    <w:rsid w:val="00C302CD"/>
    <w:rsid w:val="00C30A49"/>
    <w:rsid w:val="00C33D80"/>
    <w:rsid w:val="00C34E04"/>
    <w:rsid w:val="00C34E05"/>
    <w:rsid w:val="00C35111"/>
    <w:rsid w:val="00C35CF7"/>
    <w:rsid w:val="00C40867"/>
    <w:rsid w:val="00C456B8"/>
    <w:rsid w:val="00C467D9"/>
    <w:rsid w:val="00C4733A"/>
    <w:rsid w:val="00C51E88"/>
    <w:rsid w:val="00C52E7E"/>
    <w:rsid w:val="00C54125"/>
    <w:rsid w:val="00C55234"/>
    <w:rsid w:val="00C60267"/>
    <w:rsid w:val="00C6208B"/>
    <w:rsid w:val="00C6332F"/>
    <w:rsid w:val="00C639BD"/>
    <w:rsid w:val="00C63B49"/>
    <w:rsid w:val="00C65A8C"/>
    <w:rsid w:val="00C67EFB"/>
    <w:rsid w:val="00C72755"/>
    <w:rsid w:val="00C7285A"/>
    <w:rsid w:val="00C73AE6"/>
    <w:rsid w:val="00C73DA2"/>
    <w:rsid w:val="00C818E2"/>
    <w:rsid w:val="00C827E7"/>
    <w:rsid w:val="00C8626E"/>
    <w:rsid w:val="00C86FF3"/>
    <w:rsid w:val="00C9075D"/>
    <w:rsid w:val="00C91275"/>
    <w:rsid w:val="00C93556"/>
    <w:rsid w:val="00C93C55"/>
    <w:rsid w:val="00C94E15"/>
    <w:rsid w:val="00C95266"/>
    <w:rsid w:val="00C9615C"/>
    <w:rsid w:val="00C9647A"/>
    <w:rsid w:val="00C97CED"/>
    <w:rsid w:val="00CA11E4"/>
    <w:rsid w:val="00CA1234"/>
    <w:rsid w:val="00CA484F"/>
    <w:rsid w:val="00CA6301"/>
    <w:rsid w:val="00CA6FA9"/>
    <w:rsid w:val="00CA7A03"/>
    <w:rsid w:val="00CB0B64"/>
    <w:rsid w:val="00CB4F37"/>
    <w:rsid w:val="00CB53A4"/>
    <w:rsid w:val="00CB6885"/>
    <w:rsid w:val="00CBA8BB"/>
    <w:rsid w:val="00CC0972"/>
    <w:rsid w:val="00CC4A6D"/>
    <w:rsid w:val="00CC5056"/>
    <w:rsid w:val="00CC66C7"/>
    <w:rsid w:val="00CD04DE"/>
    <w:rsid w:val="00CD19E5"/>
    <w:rsid w:val="00CD2474"/>
    <w:rsid w:val="00CD3546"/>
    <w:rsid w:val="00CD4AE1"/>
    <w:rsid w:val="00CD4F90"/>
    <w:rsid w:val="00CE17D4"/>
    <w:rsid w:val="00CE299C"/>
    <w:rsid w:val="00CE739F"/>
    <w:rsid w:val="00CF079D"/>
    <w:rsid w:val="00CF1101"/>
    <w:rsid w:val="00CF1D68"/>
    <w:rsid w:val="00CF247F"/>
    <w:rsid w:val="00CF2809"/>
    <w:rsid w:val="00CF3B6E"/>
    <w:rsid w:val="00CF5FA2"/>
    <w:rsid w:val="00CF627A"/>
    <w:rsid w:val="00CF6E13"/>
    <w:rsid w:val="00CF726A"/>
    <w:rsid w:val="00D00932"/>
    <w:rsid w:val="00D01E35"/>
    <w:rsid w:val="00D02E45"/>
    <w:rsid w:val="00D03629"/>
    <w:rsid w:val="00D04709"/>
    <w:rsid w:val="00D06A1E"/>
    <w:rsid w:val="00D0726A"/>
    <w:rsid w:val="00D07E07"/>
    <w:rsid w:val="00D10E34"/>
    <w:rsid w:val="00D1243C"/>
    <w:rsid w:val="00D128BA"/>
    <w:rsid w:val="00D145D0"/>
    <w:rsid w:val="00D14937"/>
    <w:rsid w:val="00D164FD"/>
    <w:rsid w:val="00D16970"/>
    <w:rsid w:val="00D16BDF"/>
    <w:rsid w:val="00D16EC8"/>
    <w:rsid w:val="00D16F2B"/>
    <w:rsid w:val="00D17C59"/>
    <w:rsid w:val="00D21023"/>
    <w:rsid w:val="00D2145D"/>
    <w:rsid w:val="00D221F6"/>
    <w:rsid w:val="00D237E8"/>
    <w:rsid w:val="00D2418E"/>
    <w:rsid w:val="00D24868"/>
    <w:rsid w:val="00D26278"/>
    <w:rsid w:val="00D26780"/>
    <w:rsid w:val="00D26B66"/>
    <w:rsid w:val="00D277A6"/>
    <w:rsid w:val="00D278DA"/>
    <w:rsid w:val="00D32AB7"/>
    <w:rsid w:val="00D33ACD"/>
    <w:rsid w:val="00D33B11"/>
    <w:rsid w:val="00D3605B"/>
    <w:rsid w:val="00D360A0"/>
    <w:rsid w:val="00D40897"/>
    <w:rsid w:val="00D40B6D"/>
    <w:rsid w:val="00D41C1A"/>
    <w:rsid w:val="00D42FC2"/>
    <w:rsid w:val="00D447F5"/>
    <w:rsid w:val="00D45933"/>
    <w:rsid w:val="00D46527"/>
    <w:rsid w:val="00D47486"/>
    <w:rsid w:val="00D47624"/>
    <w:rsid w:val="00D52AAE"/>
    <w:rsid w:val="00D53F64"/>
    <w:rsid w:val="00D55EAE"/>
    <w:rsid w:val="00D56AED"/>
    <w:rsid w:val="00D573CD"/>
    <w:rsid w:val="00D6208F"/>
    <w:rsid w:val="00D6236E"/>
    <w:rsid w:val="00D63286"/>
    <w:rsid w:val="00D6385B"/>
    <w:rsid w:val="00D64A00"/>
    <w:rsid w:val="00D70684"/>
    <w:rsid w:val="00D73377"/>
    <w:rsid w:val="00D73B12"/>
    <w:rsid w:val="00D82F23"/>
    <w:rsid w:val="00D853E5"/>
    <w:rsid w:val="00D856A4"/>
    <w:rsid w:val="00D8632D"/>
    <w:rsid w:val="00D8644F"/>
    <w:rsid w:val="00D94163"/>
    <w:rsid w:val="00D947A9"/>
    <w:rsid w:val="00D969E6"/>
    <w:rsid w:val="00D97600"/>
    <w:rsid w:val="00DA1EE0"/>
    <w:rsid w:val="00DA372C"/>
    <w:rsid w:val="00DA544D"/>
    <w:rsid w:val="00DA5E41"/>
    <w:rsid w:val="00DA7589"/>
    <w:rsid w:val="00DB07A1"/>
    <w:rsid w:val="00DB10FE"/>
    <w:rsid w:val="00DB224A"/>
    <w:rsid w:val="00DB2300"/>
    <w:rsid w:val="00DB2D5F"/>
    <w:rsid w:val="00DB7BE0"/>
    <w:rsid w:val="00DC2822"/>
    <w:rsid w:val="00DC2B62"/>
    <w:rsid w:val="00DC3C09"/>
    <w:rsid w:val="00DC4AE6"/>
    <w:rsid w:val="00DC6EB8"/>
    <w:rsid w:val="00DC70D1"/>
    <w:rsid w:val="00DD0C24"/>
    <w:rsid w:val="00DD121E"/>
    <w:rsid w:val="00DD16C5"/>
    <w:rsid w:val="00DD374D"/>
    <w:rsid w:val="00DD3A09"/>
    <w:rsid w:val="00DD3F3A"/>
    <w:rsid w:val="00DD41E0"/>
    <w:rsid w:val="00DD4999"/>
    <w:rsid w:val="00DD53E8"/>
    <w:rsid w:val="00DD590E"/>
    <w:rsid w:val="00DD5D93"/>
    <w:rsid w:val="00DE0FBF"/>
    <w:rsid w:val="00DE14B0"/>
    <w:rsid w:val="00DE156B"/>
    <w:rsid w:val="00DE2E9E"/>
    <w:rsid w:val="00DE3384"/>
    <w:rsid w:val="00DE52A6"/>
    <w:rsid w:val="00DF0870"/>
    <w:rsid w:val="00DF09E5"/>
    <w:rsid w:val="00DF190F"/>
    <w:rsid w:val="00DF2BC9"/>
    <w:rsid w:val="00DF45C5"/>
    <w:rsid w:val="00DF5215"/>
    <w:rsid w:val="00DF54B9"/>
    <w:rsid w:val="00DF5DFD"/>
    <w:rsid w:val="00DF6B6B"/>
    <w:rsid w:val="00DF7603"/>
    <w:rsid w:val="00DF7AF5"/>
    <w:rsid w:val="00E00193"/>
    <w:rsid w:val="00E02AD7"/>
    <w:rsid w:val="00E02E66"/>
    <w:rsid w:val="00E03A2E"/>
    <w:rsid w:val="00E10CFE"/>
    <w:rsid w:val="00E1268B"/>
    <w:rsid w:val="00E12822"/>
    <w:rsid w:val="00E13688"/>
    <w:rsid w:val="00E13F92"/>
    <w:rsid w:val="00E145B0"/>
    <w:rsid w:val="00E1479D"/>
    <w:rsid w:val="00E14A15"/>
    <w:rsid w:val="00E166A4"/>
    <w:rsid w:val="00E2126D"/>
    <w:rsid w:val="00E221C1"/>
    <w:rsid w:val="00E22C01"/>
    <w:rsid w:val="00E256B7"/>
    <w:rsid w:val="00E271C3"/>
    <w:rsid w:val="00E27C09"/>
    <w:rsid w:val="00E27E4D"/>
    <w:rsid w:val="00E30FD3"/>
    <w:rsid w:val="00E31256"/>
    <w:rsid w:val="00E3223D"/>
    <w:rsid w:val="00E344BE"/>
    <w:rsid w:val="00E35C63"/>
    <w:rsid w:val="00E36A93"/>
    <w:rsid w:val="00E37343"/>
    <w:rsid w:val="00E375E0"/>
    <w:rsid w:val="00E378DC"/>
    <w:rsid w:val="00E405CF"/>
    <w:rsid w:val="00E412C7"/>
    <w:rsid w:val="00E4276B"/>
    <w:rsid w:val="00E431C5"/>
    <w:rsid w:val="00E43E80"/>
    <w:rsid w:val="00E44BD0"/>
    <w:rsid w:val="00E4540F"/>
    <w:rsid w:val="00E4643F"/>
    <w:rsid w:val="00E466E7"/>
    <w:rsid w:val="00E4732A"/>
    <w:rsid w:val="00E5037E"/>
    <w:rsid w:val="00E534B2"/>
    <w:rsid w:val="00E5391E"/>
    <w:rsid w:val="00E53AF3"/>
    <w:rsid w:val="00E54EC2"/>
    <w:rsid w:val="00E55B51"/>
    <w:rsid w:val="00E56CC1"/>
    <w:rsid w:val="00E57BD5"/>
    <w:rsid w:val="00E61A89"/>
    <w:rsid w:val="00E62655"/>
    <w:rsid w:val="00E62E90"/>
    <w:rsid w:val="00E657A1"/>
    <w:rsid w:val="00E6678D"/>
    <w:rsid w:val="00E67821"/>
    <w:rsid w:val="00E67F32"/>
    <w:rsid w:val="00E67F7A"/>
    <w:rsid w:val="00E71721"/>
    <w:rsid w:val="00E729E6"/>
    <w:rsid w:val="00E72E6F"/>
    <w:rsid w:val="00E72F51"/>
    <w:rsid w:val="00E73628"/>
    <w:rsid w:val="00E738E5"/>
    <w:rsid w:val="00E73CE4"/>
    <w:rsid w:val="00E76B86"/>
    <w:rsid w:val="00E76F67"/>
    <w:rsid w:val="00E77E7C"/>
    <w:rsid w:val="00E80BD9"/>
    <w:rsid w:val="00E819DD"/>
    <w:rsid w:val="00E823BF"/>
    <w:rsid w:val="00E82BC9"/>
    <w:rsid w:val="00E84049"/>
    <w:rsid w:val="00E87A37"/>
    <w:rsid w:val="00E87EC3"/>
    <w:rsid w:val="00E900B6"/>
    <w:rsid w:val="00E9051C"/>
    <w:rsid w:val="00E934DA"/>
    <w:rsid w:val="00E9660E"/>
    <w:rsid w:val="00E97123"/>
    <w:rsid w:val="00E9723C"/>
    <w:rsid w:val="00E97442"/>
    <w:rsid w:val="00EA0219"/>
    <w:rsid w:val="00EA1C97"/>
    <w:rsid w:val="00EA563F"/>
    <w:rsid w:val="00EA63A9"/>
    <w:rsid w:val="00EA7A91"/>
    <w:rsid w:val="00EA7DA5"/>
    <w:rsid w:val="00EB03B0"/>
    <w:rsid w:val="00EB0409"/>
    <w:rsid w:val="00EB14AF"/>
    <w:rsid w:val="00EB1553"/>
    <w:rsid w:val="00EB3FFB"/>
    <w:rsid w:val="00EB5224"/>
    <w:rsid w:val="00EB5E3F"/>
    <w:rsid w:val="00EB6F61"/>
    <w:rsid w:val="00EC1206"/>
    <w:rsid w:val="00EC1948"/>
    <w:rsid w:val="00EC1BC1"/>
    <w:rsid w:val="00EC30AB"/>
    <w:rsid w:val="00EC4E21"/>
    <w:rsid w:val="00EC53D5"/>
    <w:rsid w:val="00EC55B6"/>
    <w:rsid w:val="00EC737B"/>
    <w:rsid w:val="00EC79DE"/>
    <w:rsid w:val="00ED2D80"/>
    <w:rsid w:val="00ED3278"/>
    <w:rsid w:val="00ED5681"/>
    <w:rsid w:val="00EE0D11"/>
    <w:rsid w:val="00EE0D1D"/>
    <w:rsid w:val="00EE1E33"/>
    <w:rsid w:val="00EE2F74"/>
    <w:rsid w:val="00EE3B9D"/>
    <w:rsid w:val="00EE53CC"/>
    <w:rsid w:val="00EE61FB"/>
    <w:rsid w:val="00EE7846"/>
    <w:rsid w:val="00EF1E8D"/>
    <w:rsid w:val="00EF20EF"/>
    <w:rsid w:val="00EF2743"/>
    <w:rsid w:val="00EF2859"/>
    <w:rsid w:val="00EF3207"/>
    <w:rsid w:val="00EF400A"/>
    <w:rsid w:val="00EF4201"/>
    <w:rsid w:val="00EF4E0C"/>
    <w:rsid w:val="00EF5948"/>
    <w:rsid w:val="00EF618D"/>
    <w:rsid w:val="00EF68D7"/>
    <w:rsid w:val="00EF74D7"/>
    <w:rsid w:val="00EF75B2"/>
    <w:rsid w:val="00EF7904"/>
    <w:rsid w:val="00F007EC"/>
    <w:rsid w:val="00F00AD5"/>
    <w:rsid w:val="00F01766"/>
    <w:rsid w:val="00F0432C"/>
    <w:rsid w:val="00F04B29"/>
    <w:rsid w:val="00F052CB"/>
    <w:rsid w:val="00F05D39"/>
    <w:rsid w:val="00F06739"/>
    <w:rsid w:val="00F07C72"/>
    <w:rsid w:val="00F11114"/>
    <w:rsid w:val="00F11433"/>
    <w:rsid w:val="00F11C71"/>
    <w:rsid w:val="00F11D41"/>
    <w:rsid w:val="00F12102"/>
    <w:rsid w:val="00F20B42"/>
    <w:rsid w:val="00F24EAD"/>
    <w:rsid w:val="00F25222"/>
    <w:rsid w:val="00F27373"/>
    <w:rsid w:val="00F309E4"/>
    <w:rsid w:val="00F31A3F"/>
    <w:rsid w:val="00F34F65"/>
    <w:rsid w:val="00F3642F"/>
    <w:rsid w:val="00F40714"/>
    <w:rsid w:val="00F41087"/>
    <w:rsid w:val="00F41257"/>
    <w:rsid w:val="00F44FF9"/>
    <w:rsid w:val="00F460EB"/>
    <w:rsid w:val="00F46B11"/>
    <w:rsid w:val="00F46B3A"/>
    <w:rsid w:val="00F5166D"/>
    <w:rsid w:val="00F51E5B"/>
    <w:rsid w:val="00F51EDF"/>
    <w:rsid w:val="00F53B05"/>
    <w:rsid w:val="00F545FB"/>
    <w:rsid w:val="00F54D5C"/>
    <w:rsid w:val="00F57333"/>
    <w:rsid w:val="00F5740E"/>
    <w:rsid w:val="00F605D6"/>
    <w:rsid w:val="00F60872"/>
    <w:rsid w:val="00F617EB"/>
    <w:rsid w:val="00F61B31"/>
    <w:rsid w:val="00F620C9"/>
    <w:rsid w:val="00F633CE"/>
    <w:rsid w:val="00F639EB"/>
    <w:rsid w:val="00F64EF1"/>
    <w:rsid w:val="00F65D1C"/>
    <w:rsid w:val="00F71BEC"/>
    <w:rsid w:val="00F72458"/>
    <w:rsid w:val="00F73530"/>
    <w:rsid w:val="00F807CA"/>
    <w:rsid w:val="00F830EE"/>
    <w:rsid w:val="00F841EC"/>
    <w:rsid w:val="00F8435B"/>
    <w:rsid w:val="00F84BDE"/>
    <w:rsid w:val="00F87159"/>
    <w:rsid w:val="00F87A66"/>
    <w:rsid w:val="00F91D18"/>
    <w:rsid w:val="00F91D42"/>
    <w:rsid w:val="00F923B3"/>
    <w:rsid w:val="00FA05A1"/>
    <w:rsid w:val="00FA0BE2"/>
    <w:rsid w:val="00FA0FAB"/>
    <w:rsid w:val="00FA2D9B"/>
    <w:rsid w:val="00FA304B"/>
    <w:rsid w:val="00FA3525"/>
    <w:rsid w:val="00FA5182"/>
    <w:rsid w:val="00FB20C9"/>
    <w:rsid w:val="00FB2A65"/>
    <w:rsid w:val="00FB3236"/>
    <w:rsid w:val="00FB3771"/>
    <w:rsid w:val="00FB4DFC"/>
    <w:rsid w:val="00FB50A9"/>
    <w:rsid w:val="00FB65A4"/>
    <w:rsid w:val="00FB68CC"/>
    <w:rsid w:val="00FC3EC9"/>
    <w:rsid w:val="00FD0016"/>
    <w:rsid w:val="00FD21F8"/>
    <w:rsid w:val="00FD227B"/>
    <w:rsid w:val="00FD456A"/>
    <w:rsid w:val="00FD4A6E"/>
    <w:rsid w:val="00FD5AA5"/>
    <w:rsid w:val="00FD65C0"/>
    <w:rsid w:val="00FE02A1"/>
    <w:rsid w:val="00FE1784"/>
    <w:rsid w:val="00FE2580"/>
    <w:rsid w:val="00FE4191"/>
    <w:rsid w:val="00FE48F9"/>
    <w:rsid w:val="00FE4F87"/>
    <w:rsid w:val="00FE64C0"/>
    <w:rsid w:val="00FE6715"/>
    <w:rsid w:val="00FF0B92"/>
    <w:rsid w:val="00FF2551"/>
    <w:rsid w:val="00FF32A1"/>
    <w:rsid w:val="00FF4CD9"/>
    <w:rsid w:val="00FF5A29"/>
    <w:rsid w:val="00FF5F33"/>
    <w:rsid w:val="00FF71E0"/>
    <w:rsid w:val="00FF756A"/>
    <w:rsid w:val="00FF7868"/>
    <w:rsid w:val="014F7CF4"/>
    <w:rsid w:val="01D02198"/>
    <w:rsid w:val="0223110B"/>
    <w:rsid w:val="02783771"/>
    <w:rsid w:val="02926EDD"/>
    <w:rsid w:val="02D00D71"/>
    <w:rsid w:val="03193138"/>
    <w:rsid w:val="046C633C"/>
    <w:rsid w:val="049282BA"/>
    <w:rsid w:val="0499395F"/>
    <w:rsid w:val="0552062F"/>
    <w:rsid w:val="05937E42"/>
    <w:rsid w:val="05AF19FF"/>
    <w:rsid w:val="060A2D8E"/>
    <w:rsid w:val="067C420A"/>
    <w:rsid w:val="06C7560E"/>
    <w:rsid w:val="07178000"/>
    <w:rsid w:val="085BE636"/>
    <w:rsid w:val="08D83C6E"/>
    <w:rsid w:val="09B6DBF1"/>
    <w:rsid w:val="0A15E635"/>
    <w:rsid w:val="0A2540A4"/>
    <w:rsid w:val="0A583C5E"/>
    <w:rsid w:val="0A7A1D8B"/>
    <w:rsid w:val="0AE72C93"/>
    <w:rsid w:val="0AFD0DE9"/>
    <w:rsid w:val="0B25B709"/>
    <w:rsid w:val="0BC652BE"/>
    <w:rsid w:val="0BD572AB"/>
    <w:rsid w:val="0C59794F"/>
    <w:rsid w:val="0C8851D3"/>
    <w:rsid w:val="0CB0C856"/>
    <w:rsid w:val="0CC7718C"/>
    <w:rsid w:val="0D3C3DC4"/>
    <w:rsid w:val="0D5955BB"/>
    <w:rsid w:val="0DF6724F"/>
    <w:rsid w:val="0E455EF3"/>
    <w:rsid w:val="0EC1E2EA"/>
    <w:rsid w:val="0F0768CC"/>
    <w:rsid w:val="0F1AD1FA"/>
    <w:rsid w:val="0F3BA219"/>
    <w:rsid w:val="0FD975BB"/>
    <w:rsid w:val="0FE8F6E0"/>
    <w:rsid w:val="10052B19"/>
    <w:rsid w:val="103B255D"/>
    <w:rsid w:val="10CE7107"/>
    <w:rsid w:val="1150ECE3"/>
    <w:rsid w:val="11A518FD"/>
    <w:rsid w:val="11BF14EE"/>
    <w:rsid w:val="11F10866"/>
    <w:rsid w:val="12556038"/>
    <w:rsid w:val="128A02F3"/>
    <w:rsid w:val="12F06AE7"/>
    <w:rsid w:val="1311EFDA"/>
    <w:rsid w:val="13290EE9"/>
    <w:rsid w:val="13FF53D2"/>
    <w:rsid w:val="149D532A"/>
    <w:rsid w:val="14A171B0"/>
    <w:rsid w:val="14BCE334"/>
    <w:rsid w:val="14EE3EA6"/>
    <w:rsid w:val="150313CC"/>
    <w:rsid w:val="152D0E4A"/>
    <w:rsid w:val="15954377"/>
    <w:rsid w:val="15B75FD0"/>
    <w:rsid w:val="16461C2B"/>
    <w:rsid w:val="16C5FC12"/>
    <w:rsid w:val="16FB6B01"/>
    <w:rsid w:val="170E09D7"/>
    <w:rsid w:val="171E171B"/>
    <w:rsid w:val="17266DB9"/>
    <w:rsid w:val="173D563B"/>
    <w:rsid w:val="17570A9D"/>
    <w:rsid w:val="17E74599"/>
    <w:rsid w:val="180003C1"/>
    <w:rsid w:val="18266979"/>
    <w:rsid w:val="18D19BAB"/>
    <w:rsid w:val="1906B066"/>
    <w:rsid w:val="19AA11C8"/>
    <w:rsid w:val="19D317DC"/>
    <w:rsid w:val="1A0013B9"/>
    <w:rsid w:val="1A135AD3"/>
    <w:rsid w:val="1A255B58"/>
    <w:rsid w:val="1A2D4976"/>
    <w:rsid w:val="1ABF69B6"/>
    <w:rsid w:val="1B100D94"/>
    <w:rsid w:val="1BA40064"/>
    <w:rsid w:val="1BC22EEF"/>
    <w:rsid w:val="1C792CCF"/>
    <w:rsid w:val="1C9E9A70"/>
    <w:rsid w:val="1CCDDEB9"/>
    <w:rsid w:val="1CEBBC3B"/>
    <w:rsid w:val="1DBB2BB3"/>
    <w:rsid w:val="1E27B3BF"/>
    <w:rsid w:val="1EC09D29"/>
    <w:rsid w:val="1F485C6B"/>
    <w:rsid w:val="1FBE640C"/>
    <w:rsid w:val="1FD22914"/>
    <w:rsid w:val="20A7354C"/>
    <w:rsid w:val="210B5969"/>
    <w:rsid w:val="211C28E4"/>
    <w:rsid w:val="2152178C"/>
    <w:rsid w:val="2191BD15"/>
    <w:rsid w:val="21FAE2FC"/>
    <w:rsid w:val="226B7742"/>
    <w:rsid w:val="226CC27F"/>
    <w:rsid w:val="226D0375"/>
    <w:rsid w:val="22E70218"/>
    <w:rsid w:val="234A5C37"/>
    <w:rsid w:val="23D6FBBD"/>
    <w:rsid w:val="240767B9"/>
    <w:rsid w:val="246142B7"/>
    <w:rsid w:val="24915AF2"/>
    <w:rsid w:val="24A97AFC"/>
    <w:rsid w:val="24B165EE"/>
    <w:rsid w:val="24DD4782"/>
    <w:rsid w:val="258306BF"/>
    <w:rsid w:val="25E14B1C"/>
    <w:rsid w:val="25F14299"/>
    <w:rsid w:val="262189B7"/>
    <w:rsid w:val="264547AA"/>
    <w:rsid w:val="274D51A7"/>
    <w:rsid w:val="27D87753"/>
    <w:rsid w:val="283066DB"/>
    <w:rsid w:val="289CFCCF"/>
    <w:rsid w:val="28A86EFD"/>
    <w:rsid w:val="28B6662B"/>
    <w:rsid w:val="28B94503"/>
    <w:rsid w:val="297B775C"/>
    <w:rsid w:val="29E37CB0"/>
    <w:rsid w:val="29E856A5"/>
    <w:rsid w:val="2A2D866A"/>
    <w:rsid w:val="2A5341FD"/>
    <w:rsid w:val="2A8B5D6B"/>
    <w:rsid w:val="2AAB341F"/>
    <w:rsid w:val="2B001B28"/>
    <w:rsid w:val="2BBFA5AB"/>
    <w:rsid w:val="2BF60AB9"/>
    <w:rsid w:val="2C4E4F9E"/>
    <w:rsid w:val="2C7D4278"/>
    <w:rsid w:val="2CA91E7C"/>
    <w:rsid w:val="2CE38929"/>
    <w:rsid w:val="2D14509E"/>
    <w:rsid w:val="2D1E14FE"/>
    <w:rsid w:val="2D945C72"/>
    <w:rsid w:val="2DCE29F8"/>
    <w:rsid w:val="2E501244"/>
    <w:rsid w:val="2E50EBD0"/>
    <w:rsid w:val="2E5F5159"/>
    <w:rsid w:val="2EA63495"/>
    <w:rsid w:val="2EF6B6CA"/>
    <w:rsid w:val="2F0174DB"/>
    <w:rsid w:val="2F40B8DD"/>
    <w:rsid w:val="2F90748F"/>
    <w:rsid w:val="2FA837E3"/>
    <w:rsid w:val="302B3A25"/>
    <w:rsid w:val="305A4545"/>
    <w:rsid w:val="30E02B35"/>
    <w:rsid w:val="313E0823"/>
    <w:rsid w:val="31482A82"/>
    <w:rsid w:val="31B7156C"/>
    <w:rsid w:val="3205125F"/>
    <w:rsid w:val="32076C91"/>
    <w:rsid w:val="32245769"/>
    <w:rsid w:val="3238FF26"/>
    <w:rsid w:val="3284345F"/>
    <w:rsid w:val="32920BD0"/>
    <w:rsid w:val="32A0463D"/>
    <w:rsid w:val="32A36EF5"/>
    <w:rsid w:val="32EAD7D5"/>
    <w:rsid w:val="3346CC92"/>
    <w:rsid w:val="336C2FCF"/>
    <w:rsid w:val="33C764DD"/>
    <w:rsid w:val="33F0BFFC"/>
    <w:rsid w:val="33F567F9"/>
    <w:rsid w:val="341F406A"/>
    <w:rsid w:val="34524C9A"/>
    <w:rsid w:val="34BB6E2B"/>
    <w:rsid w:val="35197150"/>
    <w:rsid w:val="355515BE"/>
    <w:rsid w:val="35E24811"/>
    <w:rsid w:val="36237F58"/>
    <w:rsid w:val="368360DD"/>
    <w:rsid w:val="36E6A134"/>
    <w:rsid w:val="372202AB"/>
    <w:rsid w:val="3804A5CB"/>
    <w:rsid w:val="38648F56"/>
    <w:rsid w:val="389816BC"/>
    <w:rsid w:val="38C42826"/>
    <w:rsid w:val="38F014B8"/>
    <w:rsid w:val="38F33413"/>
    <w:rsid w:val="3937176C"/>
    <w:rsid w:val="39541737"/>
    <w:rsid w:val="39A36974"/>
    <w:rsid w:val="3A3571AE"/>
    <w:rsid w:val="3AAA3F21"/>
    <w:rsid w:val="3B0BE100"/>
    <w:rsid w:val="3B784281"/>
    <w:rsid w:val="3BECE58C"/>
    <w:rsid w:val="3C7FA563"/>
    <w:rsid w:val="3D656340"/>
    <w:rsid w:val="3DBC13A2"/>
    <w:rsid w:val="3DE417D8"/>
    <w:rsid w:val="3DE42A6E"/>
    <w:rsid w:val="3DE5407C"/>
    <w:rsid w:val="3E7F6790"/>
    <w:rsid w:val="3EE62395"/>
    <w:rsid w:val="3EEF6D25"/>
    <w:rsid w:val="3F256899"/>
    <w:rsid w:val="3F5B06A9"/>
    <w:rsid w:val="3F692B7A"/>
    <w:rsid w:val="3FB6362D"/>
    <w:rsid w:val="3FBF6617"/>
    <w:rsid w:val="4014BAA9"/>
    <w:rsid w:val="406541D9"/>
    <w:rsid w:val="40F41A33"/>
    <w:rsid w:val="420B2418"/>
    <w:rsid w:val="4256950B"/>
    <w:rsid w:val="428025DA"/>
    <w:rsid w:val="42962497"/>
    <w:rsid w:val="42A95D67"/>
    <w:rsid w:val="42EC19E3"/>
    <w:rsid w:val="43557BFF"/>
    <w:rsid w:val="4372094D"/>
    <w:rsid w:val="44454E6E"/>
    <w:rsid w:val="44993FC0"/>
    <w:rsid w:val="44FF452C"/>
    <w:rsid w:val="4530F7C8"/>
    <w:rsid w:val="454B80F6"/>
    <w:rsid w:val="45E88903"/>
    <w:rsid w:val="46EE26F7"/>
    <w:rsid w:val="47365B17"/>
    <w:rsid w:val="4776607A"/>
    <w:rsid w:val="477C7FA9"/>
    <w:rsid w:val="47B9BEA8"/>
    <w:rsid w:val="47DC2904"/>
    <w:rsid w:val="47FEA2C5"/>
    <w:rsid w:val="486121FA"/>
    <w:rsid w:val="4899D084"/>
    <w:rsid w:val="489C68D4"/>
    <w:rsid w:val="49354150"/>
    <w:rsid w:val="49669AB3"/>
    <w:rsid w:val="49C30C33"/>
    <w:rsid w:val="4A4F76C6"/>
    <w:rsid w:val="4A77C1BF"/>
    <w:rsid w:val="4A90863D"/>
    <w:rsid w:val="4AC80EBE"/>
    <w:rsid w:val="4AD7F995"/>
    <w:rsid w:val="4B473D7B"/>
    <w:rsid w:val="4BC03867"/>
    <w:rsid w:val="4C22B589"/>
    <w:rsid w:val="4C47CD58"/>
    <w:rsid w:val="4C9F525D"/>
    <w:rsid w:val="4CFC5AB1"/>
    <w:rsid w:val="4D54B539"/>
    <w:rsid w:val="4D8B79D0"/>
    <w:rsid w:val="4DCD9E07"/>
    <w:rsid w:val="4E059C4A"/>
    <w:rsid w:val="4E263C3F"/>
    <w:rsid w:val="4E815AA9"/>
    <w:rsid w:val="4F0A2A1D"/>
    <w:rsid w:val="4F252B19"/>
    <w:rsid w:val="4F5E8ECB"/>
    <w:rsid w:val="4F9F6605"/>
    <w:rsid w:val="505E3B25"/>
    <w:rsid w:val="509FD3FD"/>
    <w:rsid w:val="50A92AA6"/>
    <w:rsid w:val="50B2525A"/>
    <w:rsid w:val="50F4E8FA"/>
    <w:rsid w:val="51399E05"/>
    <w:rsid w:val="51ECCE9D"/>
    <w:rsid w:val="52C1536E"/>
    <w:rsid w:val="52DBF136"/>
    <w:rsid w:val="54206EAB"/>
    <w:rsid w:val="549324B9"/>
    <w:rsid w:val="54B23519"/>
    <w:rsid w:val="551F92D6"/>
    <w:rsid w:val="557466CD"/>
    <w:rsid w:val="559A0BD6"/>
    <w:rsid w:val="56CC3053"/>
    <w:rsid w:val="56E2BAE0"/>
    <w:rsid w:val="5787FE53"/>
    <w:rsid w:val="57935454"/>
    <w:rsid w:val="57B18A9F"/>
    <w:rsid w:val="57D63E92"/>
    <w:rsid w:val="57E54EE6"/>
    <w:rsid w:val="57F00B9A"/>
    <w:rsid w:val="58272E98"/>
    <w:rsid w:val="59911962"/>
    <w:rsid w:val="599381B1"/>
    <w:rsid w:val="59D95774"/>
    <w:rsid w:val="59EC2B5A"/>
    <w:rsid w:val="5A0C31C4"/>
    <w:rsid w:val="5A968A13"/>
    <w:rsid w:val="5B2D127C"/>
    <w:rsid w:val="5B468E3B"/>
    <w:rsid w:val="5BC784BF"/>
    <w:rsid w:val="5C213B48"/>
    <w:rsid w:val="5CD0930D"/>
    <w:rsid w:val="5D151CA7"/>
    <w:rsid w:val="5D695377"/>
    <w:rsid w:val="5DE52EF1"/>
    <w:rsid w:val="5DF6A528"/>
    <w:rsid w:val="5E1A66E0"/>
    <w:rsid w:val="5E608ACA"/>
    <w:rsid w:val="5E61A367"/>
    <w:rsid w:val="5E9A53ED"/>
    <w:rsid w:val="5EF363CC"/>
    <w:rsid w:val="5F3B21E9"/>
    <w:rsid w:val="5F442676"/>
    <w:rsid w:val="5FAF7E7A"/>
    <w:rsid w:val="5FEC6734"/>
    <w:rsid w:val="5FF73B31"/>
    <w:rsid w:val="5FFE856C"/>
    <w:rsid w:val="6066ADFD"/>
    <w:rsid w:val="611E7685"/>
    <w:rsid w:val="612A5259"/>
    <w:rsid w:val="61701B08"/>
    <w:rsid w:val="619B24DD"/>
    <w:rsid w:val="61BF6849"/>
    <w:rsid w:val="61F085CF"/>
    <w:rsid w:val="61FA7BA6"/>
    <w:rsid w:val="62243475"/>
    <w:rsid w:val="62798BD0"/>
    <w:rsid w:val="627B119A"/>
    <w:rsid w:val="62A17E58"/>
    <w:rsid w:val="62B4E02A"/>
    <w:rsid w:val="62C24F18"/>
    <w:rsid w:val="62F50428"/>
    <w:rsid w:val="6328591B"/>
    <w:rsid w:val="63300BD6"/>
    <w:rsid w:val="636F6365"/>
    <w:rsid w:val="640E16DA"/>
    <w:rsid w:val="650B5194"/>
    <w:rsid w:val="653579C4"/>
    <w:rsid w:val="65685488"/>
    <w:rsid w:val="65FA96E8"/>
    <w:rsid w:val="6634002F"/>
    <w:rsid w:val="66620B2A"/>
    <w:rsid w:val="66DE1520"/>
    <w:rsid w:val="686E77B2"/>
    <w:rsid w:val="68835983"/>
    <w:rsid w:val="68C963B6"/>
    <w:rsid w:val="68DAF95F"/>
    <w:rsid w:val="68FF461F"/>
    <w:rsid w:val="69080048"/>
    <w:rsid w:val="6909039D"/>
    <w:rsid w:val="69213631"/>
    <w:rsid w:val="692BAA75"/>
    <w:rsid w:val="693EB55F"/>
    <w:rsid w:val="695754E9"/>
    <w:rsid w:val="699C22A3"/>
    <w:rsid w:val="69B775C2"/>
    <w:rsid w:val="6A49B7C3"/>
    <w:rsid w:val="6AAC42C4"/>
    <w:rsid w:val="6B0A2BAB"/>
    <w:rsid w:val="6B111F70"/>
    <w:rsid w:val="6B88CC3C"/>
    <w:rsid w:val="6B914480"/>
    <w:rsid w:val="6BB1228C"/>
    <w:rsid w:val="6C2DA63C"/>
    <w:rsid w:val="6C6A8476"/>
    <w:rsid w:val="6C8A83F7"/>
    <w:rsid w:val="6CCAE6F2"/>
    <w:rsid w:val="6CD482D2"/>
    <w:rsid w:val="6CDC02F3"/>
    <w:rsid w:val="6D25D3D4"/>
    <w:rsid w:val="6D3C12A8"/>
    <w:rsid w:val="6DA790DE"/>
    <w:rsid w:val="6E28606D"/>
    <w:rsid w:val="6EDE5998"/>
    <w:rsid w:val="6EF921C6"/>
    <w:rsid w:val="6F436116"/>
    <w:rsid w:val="6F552352"/>
    <w:rsid w:val="6F849BF7"/>
    <w:rsid w:val="6FAD18AE"/>
    <w:rsid w:val="70117D48"/>
    <w:rsid w:val="705971F7"/>
    <w:rsid w:val="709070F4"/>
    <w:rsid w:val="70A82B2E"/>
    <w:rsid w:val="7103C641"/>
    <w:rsid w:val="712AD2B4"/>
    <w:rsid w:val="726C739C"/>
    <w:rsid w:val="72FAC5CD"/>
    <w:rsid w:val="72FC2B25"/>
    <w:rsid w:val="730C1CC5"/>
    <w:rsid w:val="733F6E3A"/>
    <w:rsid w:val="742A3158"/>
    <w:rsid w:val="7444A969"/>
    <w:rsid w:val="751710E9"/>
    <w:rsid w:val="755666B7"/>
    <w:rsid w:val="755E594A"/>
    <w:rsid w:val="760E6CB7"/>
    <w:rsid w:val="761977B9"/>
    <w:rsid w:val="761C5D27"/>
    <w:rsid w:val="76A63AB8"/>
    <w:rsid w:val="76AC05AB"/>
    <w:rsid w:val="76AD2822"/>
    <w:rsid w:val="776031D4"/>
    <w:rsid w:val="77C3D1EE"/>
    <w:rsid w:val="77FB6A72"/>
    <w:rsid w:val="77FFBE2E"/>
    <w:rsid w:val="78492845"/>
    <w:rsid w:val="78C61844"/>
    <w:rsid w:val="78C70F51"/>
    <w:rsid w:val="794068AB"/>
    <w:rsid w:val="79B9EF4F"/>
    <w:rsid w:val="79E1F351"/>
    <w:rsid w:val="79F22524"/>
    <w:rsid w:val="7A34172F"/>
    <w:rsid w:val="7A8556CB"/>
    <w:rsid w:val="7AFD75F6"/>
    <w:rsid w:val="7B146E4E"/>
    <w:rsid w:val="7B1509B1"/>
    <w:rsid w:val="7B1BDCC7"/>
    <w:rsid w:val="7B302BA6"/>
    <w:rsid w:val="7B491171"/>
    <w:rsid w:val="7B5C0D1A"/>
    <w:rsid w:val="7B7878F1"/>
    <w:rsid w:val="7B8A7F76"/>
    <w:rsid w:val="7C6F8552"/>
    <w:rsid w:val="7CCFBE5A"/>
    <w:rsid w:val="7CD10681"/>
    <w:rsid w:val="7CDE514C"/>
    <w:rsid w:val="7D45285A"/>
    <w:rsid w:val="7D5F11D1"/>
    <w:rsid w:val="7DD2110E"/>
    <w:rsid w:val="7E896E18"/>
    <w:rsid w:val="7EB414FE"/>
    <w:rsid w:val="7ECD26AD"/>
    <w:rsid w:val="7F5F09AC"/>
    <w:rsid w:val="7F7891B0"/>
    <w:rsid w:val="7F9349B1"/>
    <w:rsid w:val="7FC9E86F"/>
    <w:rsid w:val="7FCF95A1"/>
    <w:rsid w:val="7FDF6079"/>
    <w:rsid w:val="7FE31F22"/>
    <w:rsid w:val="7FF05C21"/>
    <w:rsid w:val="7FFB9CEA"/>
    <w:rsid w:val="80EB9C8E"/>
    <w:rsid w:val="810D72BC"/>
    <w:rsid w:val="819BF8A3"/>
    <w:rsid w:val="82046577"/>
    <w:rsid w:val="828D24D9"/>
    <w:rsid w:val="83154A7D"/>
    <w:rsid w:val="84121031"/>
    <w:rsid w:val="848B8D23"/>
    <w:rsid w:val="84D5D5C7"/>
    <w:rsid w:val="84E56920"/>
    <w:rsid w:val="854E0CEC"/>
    <w:rsid w:val="85F4D4C0"/>
    <w:rsid w:val="87031804"/>
    <w:rsid w:val="87AA8142"/>
    <w:rsid w:val="8874AF91"/>
    <w:rsid w:val="89805957"/>
    <w:rsid w:val="89CEE3EF"/>
    <w:rsid w:val="89F19B28"/>
    <w:rsid w:val="8B14BB9C"/>
    <w:rsid w:val="8B7A9715"/>
    <w:rsid w:val="8B9A1D75"/>
    <w:rsid w:val="8C78E770"/>
    <w:rsid w:val="8DCCB7E2"/>
    <w:rsid w:val="8DD8F935"/>
    <w:rsid w:val="8E8FCECB"/>
    <w:rsid w:val="911513F6"/>
    <w:rsid w:val="913C1E35"/>
    <w:rsid w:val="918C3B01"/>
    <w:rsid w:val="91D5BAE3"/>
    <w:rsid w:val="92CBED31"/>
    <w:rsid w:val="92F13677"/>
    <w:rsid w:val="93CC0A31"/>
    <w:rsid w:val="9409D083"/>
    <w:rsid w:val="94DA75DA"/>
    <w:rsid w:val="9697250D"/>
    <w:rsid w:val="96C9F7F7"/>
    <w:rsid w:val="97502C0D"/>
    <w:rsid w:val="9798D74D"/>
    <w:rsid w:val="988EBBC3"/>
    <w:rsid w:val="995FF9B5"/>
    <w:rsid w:val="997C8A74"/>
    <w:rsid w:val="999E5B9A"/>
    <w:rsid w:val="99BEEA2B"/>
    <w:rsid w:val="9C1F81D5"/>
    <w:rsid w:val="9C7A30CD"/>
    <w:rsid w:val="9CA831DC"/>
    <w:rsid w:val="9DFB5BEC"/>
    <w:rsid w:val="9E4E3E0C"/>
    <w:rsid w:val="9E91C3CB"/>
    <w:rsid w:val="9FC82E8D"/>
    <w:rsid w:val="A05A0146"/>
    <w:rsid w:val="A2407668"/>
    <w:rsid w:val="A25FA78B"/>
    <w:rsid w:val="A2665F58"/>
    <w:rsid w:val="A3554419"/>
    <w:rsid w:val="A3CE280D"/>
    <w:rsid w:val="A3D8DA2F"/>
    <w:rsid w:val="A4495559"/>
    <w:rsid w:val="A47F3839"/>
    <w:rsid w:val="A5B42DD7"/>
    <w:rsid w:val="A6713245"/>
    <w:rsid w:val="A73612F4"/>
    <w:rsid w:val="A8B1C0CA"/>
    <w:rsid w:val="A8F8ACCD"/>
    <w:rsid w:val="A9480421"/>
    <w:rsid w:val="A9556EAB"/>
    <w:rsid w:val="A9AC0F16"/>
    <w:rsid w:val="AA0B33C1"/>
    <w:rsid w:val="AB997272"/>
    <w:rsid w:val="AC3096C3"/>
    <w:rsid w:val="AC5E7F18"/>
    <w:rsid w:val="ACC3C60F"/>
    <w:rsid w:val="ACCA8DDA"/>
    <w:rsid w:val="ACF3D4EF"/>
    <w:rsid w:val="ACFE0A8F"/>
    <w:rsid w:val="AEC1CB2F"/>
    <w:rsid w:val="B00A5B3A"/>
    <w:rsid w:val="B23B1FA1"/>
    <w:rsid w:val="B344D3C6"/>
    <w:rsid w:val="B3C92320"/>
    <w:rsid w:val="B4CEDC3B"/>
    <w:rsid w:val="B59D3E5B"/>
    <w:rsid w:val="B7513FF4"/>
    <w:rsid w:val="B754D0A4"/>
    <w:rsid w:val="B7F9A0EF"/>
    <w:rsid w:val="B90575DD"/>
    <w:rsid w:val="B944858B"/>
    <w:rsid w:val="B97EA064"/>
    <w:rsid w:val="B9F1D7D6"/>
    <w:rsid w:val="BA61B31D"/>
    <w:rsid w:val="BAD68C31"/>
    <w:rsid w:val="BBAAD70B"/>
    <w:rsid w:val="BBFC6840"/>
    <w:rsid w:val="BCFD3662"/>
    <w:rsid w:val="BD7B7537"/>
    <w:rsid w:val="BDA50CB2"/>
    <w:rsid w:val="BDAC154E"/>
    <w:rsid w:val="BE5EA879"/>
    <w:rsid w:val="BE5F2E74"/>
    <w:rsid w:val="BE775B95"/>
    <w:rsid w:val="BF3343D6"/>
    <w:rsid w:val="BF656722"/>
    <w:rsid w:val="C09437F3"/>
    <w:rsid w:val="C112A41C"/>
    <w:rsid w:val="C1B53438"/>
    <w:rsid w:val="C2109250"/>
    <w:rsid w:val="C21EA671"/>
    <w:rsid w:val="C3122C43"/>
    <w:rsid w:val="C372EED3"/>
    <w:rsid w:val="C3E0EABC"/>
    <w:rsid w:val="C4FC0698"/>
    <w:rsid w:val="C51DD9EC"/>
    <w:rsid w:val="C65E1E75"/>
    <w:rsid w:val="C6BC582B"/>
    <w:rsid w:val="C6D992A4"/>
    <w:rsid w:val="C727B49C"/>
    <w:rsid w:val="C7DF233D"/>
    <w:rsid w:val="C876D8AE"/>
    <w:rsid w:val="C8F0FDED"/>
    <w:rsid w:val="CA0CCC31"/>
    <w:rsid w:val="CA72381E"/>
    <w:rsid w:val="CB45D802"/>
    <w:rsid w:val="CB7D0BFD"/>
    <w:rsid w:val="CC942EB4"/>
    <w:rsid w:val="CD656464"/>
    <w:rsid w:val="CDAAD8A6"/>
    <w:rsid w:val="CE8A4E4D"/>
    <w:rsid w:val="CF5E0F0A"/>
    <w:rsid w:val="CFFF302E"/>
    <w:rsid w:val="D014AEF2"/>
    <w:rsid w:val="D05894B9"/>
    <w:rsid w:val="D0DB6394"/>
    <w:rsid w:val="D137876F"/>
    <w:rsid w:val="D4DEA02D"/>
    <w:rsid w:val="D4EE3216"/>
    <w:rsid w:val="D50891B4"/>
    <w:rsid w:val="D5D14089"/>
    <w:rsid w:val="D659F5CA"/>
    <w:rsid w:val="D6EB5983"/>
    <w:rsid w:val="D757346E"/>
    <w:rsid w:val="D825B432"/>
    <w:rsid w:val="D85AD41F"/>
    <w:rsid w:val="D8CF158A"/>
    <w:rsid w:val="D9F50DDE"/>
    <w:rsid w:val="DA79C88F"/>
    <w:rsid w:val="DACA3111"/>
    <w:rsid w:val="DB57FDC5"/>
    <w:rsid w:val="DB80C101"/>
    <w:rsid w:val="DB9D0685"/>
    <w:rsid w:val="DC585377"/>
    <w:rsid w:val="DCBDC5CB"/>
    <w:rsid w:val="DCF8FEF5"/>
    <w:rsid w:val="DD78E873"/>
    <w:rsid w:val="DD9AC070"/>
    <w:rsid w:val="DDB5A9EB"/>
    <w:rsid w:val="DE30D7A8"/>
    <w:rsid w:val="DE8CDECF"/>
    <w:rsid w:val="DF7239E5"/>
    <w:rsid w:val="E2D1C01C"/>
    <w:rsid w:val="E346D6E3"/>
    <w:rsid w:val="E3684ABE"/>
    <w:rsid w:val="E3DA5805"/>
    <w:rsid w:val="E443D085"/>
    <w:rsid w:val="E4C901BD"/>
    <w:rsid w:val="E4EAE958"/>
    <w:rsid w:val="E696F552"/>
    <w:rsid w:val="E6DBC40C"/>
    <w:rsid w:val="E7AC540A"/>
    <w:rsid w:val="E882BC62"/>
    <w:rsid w:val="E95277DA"/>
    <w:rsid w:val="E9D45AE0"/>
    <w:rsid w:val="EB84EF01"/>
    <w:rsid w:val="EB959B2B"/>
    <w:rsid w:val="EBF74F6B"/>
    <w:rsid w:val="EC47BE0E"/>
    <w:rsid w:val="EDB8AE9A"/>
    <w:rsid w:val="EDFB9FB4"/>
    <w:rsid w:val="EE24A1A2"/>
    <w:rsid w:val="EF0DB53C"/>
    <w:rsid w:val="F0A2270B"/>
    <w:rsid w:val="F0FEA8FF"/>
    <w:rsid w:val="F1F81371"/>
    <w:rsid w:val="F210E3F8"/>
    <w:rsid w:val="F299F2CA"/>
    <w:rsid w:val="F337B69F"/>
    <w:rsid w:val="F3759A28"/>
    <w:rsid w:val="F3912F08"/>
    <w:rsid w:val="F4921F58"/>
    <w:rsid w:val="F5389CFA"/>
    <w:rsid w:val="F637827B"/>
    <w:rsid w:val="F65ABA7C"/>
    <w:rsid w:val="F672068B"/>
    <w:rsid w:val="F780750B"/>
    <w:rsid w:val="F7C383BC"/>
    <w:rsid w:val="F8F4B948"/>
    <w:rsid w:val="F925339F"/>
    <w:rsid w:val="F9DFEDE7"/>
    <w:rsid w:val="FB015EA3"/>
    <w:rsid w:val="FB0561A9"/>
    <w:rsid w:val="FB411EC3"/>
    <w:rsid w:val="FB8F81D3"/>
    <w:rsid w:val="FBCD2D78"/>
    <w:rsid w:val="FC0CCBDD"/>
    <w:rsid w:val="FC51AD9A"/>
    <w:rsid w:val="FC5383C6"/>
    <w:rsid w:val="FCDBDB85"/>
    <w:rsid w:val="FD015CB0"/>
    <w:rsid w:val="FD6D0912"/>
    <w:rsid w:val="FDCE5A6C"/>
    <w:rsid w:val="FDFFFA02"/>
    <w:rsid w:val="FE2A62A4"/>
    <w:rsid w:val="FE319E07"/>
    <w:rsid w:val="FE35A574"/>
    <w:rsid w:val="FEA8D846"/>
    <w:rsid w:val="FEBC6CB7"/>
    <w:rsid w:val="FFF7527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qFormat="1" w:unhideWhenUsed="0" w:uiPriority="99" w:name="toc 2"/>
    <w:lsdException w:qFormat="1" w:unhideWhenUsed="0" w:uiPriority="99"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99"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4">
    <w:name w:val="heading 1"/>
    <w:basedOn w:val="1"/>
    <w:next w:val="1"/>
    <w:link w:val="24"/>
    <w:qFormat/>
    <w:uiPriority w:val="99"/>
    <w:pPr>
      <w:keepNext/>
      <w:keepLines/>
      <w:widowControl/>
      <w:numPr>
        <w:ilvl w:val="0"/>
        <w:numId w:val="1"/>
      </w:numPr>
      <w:spacing w:before="400" w:after="120"/>
      <w:ind w:left="432" w:hanging="432"/>
      <w:outlineLvl w:val="0"/>
    </w:pPr>
    <w:rPr>
      <w:rFonts w:ascii="微软雅黑" w:hAnsi="微软雅黑" w:eastAsia="微软雅黑" w:cs="微软雅黑"/>
      <w:b/>
      <w:bCs/>
      <w:color w:val="003764"/>
      <w:kern w:val="0"/>
      <w:sz w:val="40"/>
      <w:szCs w:val="40"/>
      <w:lang w:val="en-GB" w:eastAsia="en-US"/>
    </w:rPr>
  </w:style>
  <w:style w:type="paragraph" w:styleId="5">
    <w:name w:val="heading 2"/>
    <w:basedOn w:val="1"/>
    <w:next w:val="1"/>
    <w:link w:val="25"/>
    <w:qFormat/>
    <w:uiPriority w:val="99"/>
    <w:pPr>
      <w:keepNext/>
      <w:keepLines/>
      <w:widowControl/>
      <w:numPr>
        <w:ilvl w:val="1"/>
        <w:numId w:val="1"/>
      </w:numPr>
      <w:spacing w:before="320" w:after="120"/>
      <w:ind w:left="576" w:hanging="576"/>
      <w:outlineLvl w:val="1"/>
    </w:pPr>
    <w:rPr>
      <w:rFonts w:ascii="微软雅黑" w:hAnsi="微软雅黑" w:eastAsia="微软雅黑" w:cs="微软雅黑"/>
      <w:b/>
      <w:bCs/>
      <w:color w:val="003764"/>
      <w:kern w:val="0"/>
      <w:sz w:val="32"/>
      <w:szCs w:val="32"/>
      <w:lang w:val="en-GB"/>
    </w:rPr>
  </w:style>
  <w:style w:type="paragraph" w:styleId="6">
    <w:name w:val="heading 3"/>
    <w:basedOn w:val="1"/>
    <w:next w:val="1"/>
    <w:link w:val="26"/>
    <w:qFormat/>
    <w:uiPriority w:val="99"/>
    <w:pPr>
      <w:widowControl/>
      <w:numPr>
        <w:ilvl w:val="2"/>
        <w:numId w:val="1"/>
      </w:numPr>
      <w:spacing w:after="80" w:line="256" w:lineRule="auto"/>
      <w:ind w:left="1004" w:hanging="720"/>
      <w:outlineLvl w:val="2"/>
    </w:pPr>
    <w:rPr>
      <w:rFonts w:ascii="微软雅黑" w:hAnsi="微软雅黑" w:eastAsia="微软雅黑" w:cs="微软雅黑"/>
      <w:b/>
      <w:bCs/>
      <w:color w:val="003764"/>
      <w:kern w:val="0"/>
      <w:sz w:val="22"/>
      <w:szCs w:val="22"/>
      <w:lang w:val="en-GB"/>
    </w:rPr>
  </w:style>
  <w:style w:type="character" w:default="1" w:styleId="20">
    <w:name w:val="Default Paragraph Font"/>
    <w:semiHidden/>
    <w:qFormat/>
    <w:uiPriority w:val="99"/>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28"/>
    <w:qFormat/>
    <w:uiPriority w:val="99"/>
    <w:pPr>
      <w:spacing w:line="560" w:lineRule="exact"/>
      <w:ind w:firstLine="721" w:firstLineChars="200"/>
    </w:pPr>
    <w:rPr>
      <w:rFonts w:ascii="Calibri" w:cs="Calibri"/>
    </w:rPr>
  </w:style>
  <w:style w:type="paragraph" w:styleId="3">
    <w:name w:val="Body Text"/>
    <w:basedOn w:val="1"/>
    <w:link w:val="27"/>
    <w:qFormat/>
    <w:uiPriority w:val="99"/>
    <w:rPr>
      <w:rFonts w:ascii="仿宋_GB2312" w:eastAsia="仿宋_GB2312" w:cs="仿宋_GB2312"/>
      <w:sz w:val="32"/>
      <w:szCs w:val="32"/>
    </w:rPr>
  </w:style>
  <w:style w:type="paragraph" w:styleId="7">
    <w:name w:val="annotation text"/>
    <w:basedOn w:val="1"/>
    <w:link w:val="45"/>
    <w:semiHidden/>
    <w:qFormat/>
    <w:uiPriority w:val="99"/>
    <w:pPr>
      <w:jc w:val="left"/>
    </w:pPr>
    <w:rPr>
      <w:sz w:val="24"/>
      <w:szCs w:val="24"/>
    </w:rPr>
  </w:style>
  <w:style w:type="paragraph" w:styleId="8">
    <w:name w:val="toc 3"/>
    <w:basedOn w:val="1"/>
    <w:next w:val="1"/>
    <w:semiHidden/>
    <w:qFormat/>
    <w:uiPriority w:val="99"/>
    <w:pPr>
      <w:widowControl/>
      <w:spacing w:line="256" w:lineRule="auto"/>
    </w:pPr>
    <w:rPr>
      <w:rFonts w:ascii="Frutiger LT Com 45 Light" w:hAnsi="Frutiger LT Com 45 Light" w:cs="Frutiger LT Com 45 Light"/>
      <w:i/>
      <w:iCs/>
      <w:kern w:val="0"/>
      <w:sz w:val="18"/>
      <w:szCs w:val="18"/>
      <w:lang w:val="en-GB" w:eastAsia="en-US"/>
    </w:rPr>
  </w:style>
  <w:style w:type="paragraph" w:styleId="9">
    <w:name w:val="Balloon Text"/>
    <w:basedOn w:val="1"/>
    <w:link w:val="31"/>
    <w:semiHidden/>
    <w:qFormat/>
    <w:uiPriority w:val="99"/>
    <w:rPr>
      <w:sz w:val="18"/>
      <w:szCs w:val="18"/>
    </w:rPr>
  </w:style>
  <w:style w:type="paragraph" w:styleId="10">
    <w:name w:val="footer"/>
    <w:basedOn w:val="1"/>
    <w:link w:val="32"/>
    <w:qFormat/>
    <w:uiPriority w:val="99"/>
    <w:pPr>
      <w:tabs>
        <w:tab w:val="center" w:pos="4153"/>
        <w:tab w:val="right" w:pos="8306"/>
      </w:tabs>
      <w:snapToGrid w:val="0"/>
      <w:jc w:val="left"/>
    </w:pPr>
    <w:rPr>
      <w:kern w:val="0"/>
      <w:sz w:val="18"/>
      <w:szCs w:val="18"/>
    </w:rPr>
  </w:style>
  <w:style w:type="paragraph" w:styleId="11">
    <w:name w:val="header"/>
    <w:basedOn w:val="1"/>
    <w:link w:val="33"/>
    <w:qFormat/>
    <w:uiPriority w:val="99"/>
    <w:pPr>
      <w:pBdr>
        <w:bottom w:val="single" w:color="auto" w:sz="6" w:space="1"/>
      </w:pBdr>
      <w:tabs>
        <w:tab w:val="center" w:pos="4153"/>
        <w:tab w:val="right" w:pos="8306"/>
      </w:tabs>
      <w:snapToGrid w:val="0"/>
      <w:jc w:val="center"/>
    </w:pPr>
    <w:rPr>
      <w:kern w:val="0"/>
      <w:sz w:val="18"/>
      <w:szCs w:val="18"/>
    </w:rPr>
  </w:style>
  <w:style w:type="paragraph" w:styleId="12">
    <w:name w:val="toc 1"/>
    <w:basedOn w:val="1"/>
    <w:next w:val="1"/>
    <w:semiHidden/>
    <w:qFormat/>
    <w:uiPriority w:val="99"/>
  </w:style>
  <w:style w:type="paragraph" w:styleId="13">
    <w:name w:val="toc 2"/>
    <w:basedOn w:val="1"/>
    <w:next w:val="1"/>
    <w:semiHidden/>
    <w:qFormat/>
    <w:uiPriority w:val="99"/>
    <w:pPr>
      <w:ind w:left="420" w:leftChars="200"/>
    </w:pPr>
  </w:style>
  <w:style w:type="paragraph" w:styleId="14">
    <w:name w:val="HTML Preformatted"/>
    <w:basedOn w:val="1"/>
    <w:link w:val="34"/>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6">
    <w:name w:val="Title"/>
    <w:basedOn w:val="1"/>
    <w:next w:val="1"/>
    <w:link w:val="35"/>
    <w:qFormat/>
    <w:uiPriority w:val="99"/>
    <w:pPr>
      <w:widowControl/>
      <w:spacing w:line="560" w:lineRule="exact"/>
    </w:pPr>
    <w:rPr>
      <w:rFonts w:ascii="Inria Serif" w:hAnsi="Inria Serif" w:cs="Inria Serif"/>
      <w:b/>
      <w:bCs/>
      <w:color w:val="0084AD"/>
      <w:spacing w:val="-10"/>
      <w:kern w:val="28"/>
      <w:sz w:val="50"/>
      <w:szCs w:val="50"/>
      <w:lang w:val="en-AU" w:eastAsia="en-US"/>
    </w:rPr>
  </w:style>
  <w:style w:type="paragraph" w:styleId="17">
    <w:name w:val="annotation subject"/>
    <w:basedOn w:val="7"/>
    <w:next w:val="7"/>
    <w:link w:val="30"/>
    <w:semiHidden/>
    <w:qFormat/>
    <w:uiPriority w:val="99"/>
    <w:rPr>
      <w:b/>
      <w:bCs/>
      <w:sz w:val="21"/>
      <w:szCs w:val="21"/>
    </w:rPr>
  </w:style>
  <w:style w:type="table" w:styleId="19">
    <w:name w:val="Table Grid"/>
    <w:basedOn w:val="18"/>
    <w:qFormat/>
    <w:uiPriority w:val="99"/>
    <w:pPr>
      <w:widowControl w:val="0"/>
      <w:jc w:val="both"/>
    </w:pPr>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99"/>
    <w:rPr>
      <w:rFonts w:ascii="Calibri" w:hAnsi="Calibri" w:eastAsia="宋体" w:cs="Calibri"/>
    </w:rPr>
  </w:style>
  <w:style w:type="character" w:styleId="22">
    <w:name w:val="Hyperlink"/>
    <w:basedOn w:val="20"/>
    <w:qFormat/>
    <w:uiPriority w:val="99"/>
    <w:rPr>
      <w:rFonts w:ascii="Calibri" w:hAnsi="Calibri" w:eastAsia="宋体" w:cs="Calibri"/>
      <w:color w:val="0000FF"/>
      <w:u w:val="single"/>
    </w:rPr>
  </w:style>
  <w:style w:type="character" w:styleId="23">
    <w:name w:val="annotation reference"/>
    <w:basedOn w:val="20"/>
    <w:semiHidden/>
    <w:qFormat/>
    <w:uiPriority w:val="99"/>
    <w:rPr>
      <w:rFonts w:ascii="Calibri" w:hAnsi="Calibri" w:eastAsia="宋体" w:cs="Calibri"/>
      <w:sz w:val="21"/>
      <w:szCs w:val="21"/>
    </w:rPr>
  </w:style>
  <w:style w:type="character" w:customStyle="1" w:styleId="24">
    <w:name w:val="Heading 1 Char"/>
    <w:basedOn w:val="20"/>
    <w:link w:val="4"/>
    <w:qFormat/>
    <w:locked/>
    <w:uiPriority w:val="99"/>
    <w:rPr>
      <w:rFonts w:ascii="微软雅黑" w:hAnsi="微软雅黑" w:eastAsia="微软雅黑" w:cs="微软雅黑"/>
      <w:b/>
      <w:bCs/>
      <w:color w:val="003764"/>
      <w:sz w:val="32"/>
      <w:szCs w:val="32"/>
      <w:lang w:val="en-GB" w:eastAsia="en-US"/>
    </w:rPr>
  </w:style>
  <w:style w:type="character" w:customStyle="1" w:styleId="25">
    <w:name w:val="Heading 2 Char"/>
    <w:basedOn w:val="20"/>
    <w:link w:val="5"/>
    <w:qFormat/>
    <w:locked/>
    <w:uiPriority w:val="99"/>
    <w:rPr>
      <w:rFonts w:ascii="微软雅黑" w:hAnsi="微软雅黑" w:eastAsia="微软雅黑" w:cs="微软雅黑"/>
      <w:b/>
      <w:bCs/>
      <w:color w:val="003764"/>
      <w:sz w:val="32"/>
      <w:szCs w:val="32"/>
      <w:lang w:val="en-GB" w:eastAsia="zh-CN"/>
    </w:rPr>
  </w:style>
  <w:style w:type="character" w:customStyle="1" w:styleId="26">
    <w:name w:val="Heading 3 Char"/>
    <w:basedOn w:val="20"/>
    <w:link w:val="6"/>
    <w:qFormat/>
    <w:locked/>
    <w:uiPriority w:val="99"/>
    <w:rPr>
      <w:rFonts w:ascii="微软雅黑" w:hAnsi="微软雅黑" w:eastAsia="微软雅黑" w:cs="微软雅黑"/>
      <w:b/>
      <w:bCs/>
      <w:color w:val="003764"/>
      <w:sz w:val="24"/>
      <w:szCs w:val="24"/>
      <w:lang w:val="en-GB" w:eastAsia="zh-CN"/>
    </w:rPr>
  </w:style>
  <w:style w:type="character" w:customStyle="1" w:styleId="27">
    <w:name w:val="Body Text Char"/>
    <w:basedOn w:val="20"/>
    <w:link w:val="3"/>
    <w:semiHidden/>
    <w:qFormat/>
    <w:locked/>
    <w:uiPriority w:val="99"/>
    <w:rPr>
      <w:sz w:val="21"/>
      <w:szCs w:val="21"/>
    </w:rPr>
  </w:style>
  <w:style w:type="character" w:customStyle="1" w:styleId="28">
    <w:name w:val="Body Text First Indent Char"/>
    <w:basedOn w:val="27"/>
    <w:link w:val="2"/>
    <w:semiHidden/>
    <w:qFormat/>
    <w:locked/>
    <w:uiPriority w:val="99"/>
  </w:style>
  <w:style w:type="character" w:customStyle="1" w:styleId="29">
    <w:name w:val="Comment Text Char"/>
    <w:basedOn w:val="20"/>
    <w:link w:val="7"/>
    <w:qFormat/>
    <w:locked/>
    <w:uiPriority w:val="99"/>
    <w:rPr>
      <w:rFonts w:ascii="Calibri" w:hAnsi="Calibri" w:eastAsia="宋体" w:cs="Calibri"/>
      <w:sz w:val="24"/>
      <w:szCs w:val="24"/>
    </w:rPr>
  </w:style>
  <w:style w:type="character" w:customStyle="1" w:styleId="30">
    <w:name w:val="Comment Subject Char"/>
    <w:basedOn w:val="29"/>
    <w:link w:val="17"/>
    <w:semiHidden/>
    <w:qFormat/>
    <w:locked/>
    <w:uiPriority w:val="99"/>
    <w:rPr>
      <w:b/>
      <w:bCs/>
      <w:sz w:val="21"/>
      <w:szCs w:val="21"/>
    </w:rPr>
  </w:style>
  <w:style w:type="character" w:customStyle="1" w:styleId="31">
    <w:name w:val="Balloon Text Char"/>
    <w:basedOn w:val="20"/>
    <w:link w:val="9"/>
    <w:qFormat/>
    <w:locked/>
    <w:uiPriority w:val="99"/>
    <w:rPr>
      <w:kern w:val="2"/>
      <w:sz w:val="18"/>
      <w:szCs w:val="18"/>
    </w:rPr>
  </w:style>
  <w:style w:type="character" w:customStyle="1" w:styleId="32">
    <w:name w:val="Footer Char"/>
    <w:basedOn w:val="20"/>
    <w:link w:val="10"/>
    <w:qFormat/>
    <w:locked/>
    <w:uiPriority w:val="99"/>
    <w:rPr>
      <w:rFonts w:ascii="Calibri" w:hAnsi="Calibri" w:eastAsia="宋体" w:cs="Calibri"/>
      <w:sz w:val="18"/>
      <w:szCs w:val="18"/>
    </w:rPr>
  </w:style>
  <w:style w:type="character" w:customStyle="1" w:styleId="33">
    <w:name w:val="Header Char"/>
    <w:basedOn w:val="20"/>
    <w:link w:val="11"/>
    <w:qFormat/>
    <w:locked/>
    <w:uiPriority w:val="99"/>
    <w:rPr>
      <w:rFonts w:ascii="Calibri" w:hAnsi="Calibri" w:eastAsia="宋体" w:cs="Calibri"/>
      <w:sz w:val="18"/>
      <w:szCs w:val="18"/>
    </w:rPr>
  </w:style>
  <w:style w:type="character" w:customStyle="1" w:styleId="34">
    <w:name w:val="HTML Preformatted Char"/>
    <w:basedOn w:val="20"/>
    <w:link w:val="14"/>
    <w:semiHidden/>
    <w:qFormat/>
    <w:locked/>
    <w:uiPriority w:val="99"/>
    <w:rPr>
      <w:rFonts w:ascii="Courier New" w:hAnsi="Courier New" w:cs="Courier New"/>
      <w:sz w:val="20"/>
      <w:szCs w:val="20"/>
    </w:rPr>
  </w:style>
  <w:style w:type="character" w:customStyle="1" w:styleId="35">
    <w:name w:val="Title Char"/>
    <w:basedOn w:val="20"/>
    <w:link w:val="16"/>
    <w:qFormat/>
    <w:locked/>
    <w:uiPriority w:val="99"/>
    <w:rPr>
      <w:rFonts w:ascii="Inria Serif" w:hAnsi="Inria Serif" w:eastAsia="宋体" w:cs="Inria Serif"/>
      <w:b/>
      <w:bCs/>
      <w:color w:val="0084AD"/>
      <w:spacing w:val="-10"/>
      <w:kern w:val="28"/>
      <w:sz w:val="56"/>
      <w:szCs w:val="56"/>
      <w:lang w:val="en-AU" w:eastAsia="en-US"/>
    </w:rPr>
  </w:style>
  <w:style w:type="paragraph" w:customStyle="1" w:styleId="36">
    <w:name w:val="p0"/>
    <w:basedOn w:val="1"/>
    <w:qFormat/>
    <w:uiPriority w:val="99"/>
    <w:pPr>
      <w:widowControl/>
      <w:spacing w:line="590" w:lineRule="atLeast"/>
      <w:ind w:firstLine="624"/>
    </w:pPr>
    <w:rPr>
      <w:kern w:val="0"/>
      <w:sz w:val="32"/>
      <w:szCs w:val="32"/>
    </w:rPr>
  </w:style>
  <w:style w:type="paragraph" w:customStyle="1" w:styleId="37">
    <w:name w:val="TOC 标题1"/>
    <w:basedOn w:val="4"/>
    <w:next w:val="1"/>
    <w:qFormat/>
    <w:uiPriority w:val="99"/>
    <w:pPr>
      <w:numPr>
        <w:numId w:val="0"/>
      </w:numPr>
      <w:spacing w:before="240" w:after="0" w:line="256" w:lineRule="auto"/>
      <w:outlineLvl w:val="9"/>
    </w:pPr>
    <w:rPr>
      <w:rFonts w:ascii="Calibri Light" w:hAnsi="Calibri Light" w:eastAsia="宋体" w:cs="Calibri Light"/>
      <w:b w:val="0"/>
      <w:bCs w:val="0"/>
      <w:color w:val="2E74B5"/>
      <w:sz w:val="32"/>
      <w:szCs w:val="32"/>
      <w:lang w:val="en-US" w:eastAsia="zh-CN"/>
    </w:rPr>
  </w:style>
  <w:style w:type="paragraph" w:customStyle="1" w:styleId="38">
    <w:name w:val="列出段落1"/>
    <w:basedOn w:val="1"/>
    <w:qFormat/>
    <w:uiPriority w:val="99"/>
    <w:pPr>
      <w:ind w:firstLine="420" w:firstLineChars="200"/>
    </w:pPr>
  </w:style>
  <w:style w:type="paragraph" w:customStyle="1" w:styleId="39">
    <w:name w:val="Table Bullet"/>
    <w:basedOn w:val="1"/>
    <w:qFormat/>
    <w:uiPriority w:val="99"/>
    <w:pPr>
      <w:widowControl/>
      <w:numPr>
        <w:ilvl w:val="0"/>
        <w:numId w:val="2"/>
      </w:numPr>
      <w:spacing w:after="120"/>
      <w:ind w:left="284" w:hanging="284"/>
    </w:pPr>
    <w:rPr>
      <w:rFonts w:ascii="Frutiger LT Com 45 Light" w:hAnsi="Frutiger LT Com 45 Light" w:cs="Frutiger LT Com 45 Light"/>
      <w:kern w:val="0"/>
      <w:sz w:val="20"/>
      <w:szCs w:val="20"/>
      <w:lang w:val="en-GB" w:eastAsia="en-US"/>
    </w:rPr>
  </w:style>
  <w:style w:type="paragraph" w:customStyle="1" w:styleId="40">
    <w:name w:val="Editable table text"/>
    <w:basedOn w:val="1"/>
    <w:link w:val="47"/>
    <w:qFormat/>
    <w:uiPriority w:val="99"/>
    <w:pPr>
      <w:widowControl/>
    </w:pPr>
    <w:rPr>
      <w:rFonts w:ascii="Frutiger LT Com 45 Light" w:hAnsi="Frutiger LT Com 45 Light" w:cs="Frutiger LT Com 45 Light"/>
      <w:color w:val="62B5E5"/>
      <w:kern w:val="0"/>
      <w:sz w:val="24"/>
      <w:szCs w:val="24"/>
      <w:lang w:val="en-GB" w:eastAsia="en-US"/>
    </w:rPr>
  </w:style>
  <w:style w:type="paragraph" w:customStyle="1" w:styleId="41">
    <w:name w:val="样式2"/>
    <w:basedOn w:val="4"/>
    <w:next w:val="1"/>
    <w:qFormat/>
    <w:uiPriority w:val="99"/>
    <w:pPr>
      <w:widowControl w:val="0"/>
      <w:numPr>
        <w:ilvl w:val="0"/>
        <w:numId w:val="0"/>
      </w:numPr>
      <w:spacing w:before="340" w:after="330" w:line="576" w:lineRule="auto"/>
    </w:pPr>
    <w:rPr>
      <w:rFonts w:ascii="Times New Roman" w:hAnsi="Times New Roman" w:eastAsia="宋体" w:cs="Times New Roman"/>
      <w:color w:val="auto"/>
      <w:kern w:val="44"/>
      <w:sz w:val="44"/>
      <w:szCs w:val="44"/>
      <w:lang w:val="en-US" w:eastAsia="zh-CN"/>
    </w:rPr>
  </w:style>
  <w:style w:type="paragraph" w:customStyle="1" w:styleId="42">
    <w:name w:val="公文1"/>
    <w:basedOn w:val="1"/>
    <w:qFormat/>
    <w:uiPriority w:val="99"/>
    <w:rPr>
      <w:rFonts w:eastAsia="仿宋"/>
      <w:sz w:val="32"/>
      <w:szCs w:val="32"/>
    </w:rPr>
  </w:style>
  <w:style w:type="paragraph" w:customStyle="1" w:styleId="43">
    <w:name w:val="样式3"/>
    <w:basedOn w:val="4"/>
    <w:next w:val="1"/>
    <w:qFormat/>
    <w:uiPriority w:val="99"/>
    <w:pPr>
      <w:widowControl w:val="0"/>
      <w:numPr>
        <w:ilvl w:val="0"/>
        <w:numId w:val="0"/>
      </w:numPr>
      <w:spacing w:before="340" w:after="330" w:line="576" w:lineRule="auto"/>
    </w:pPr>
    <w:rPr>
      <w:rFonts w:ascii="Calibri" w:hAnsi="Calibri" w:eastAsia="华文中宋" w:cs="Calibri"/>
      <w:color w:val="auto"/>
      <w:kern w:val="44"/>
      <w:sz w:val="44"/>
      <w:szCs w:val="44"/>
      <w:lang w:val="en-US" w:eastAsia="zh-CN"/>
    </w:rPr>
  </w:style>
  <w:style w:type="character" w:customStyle="1" w:styleId="44">
    <w:name w:val="页眉 Char Char Char"/>
    <w:qFormat/>
    <w:uiPriority w:val="99"/>
    <w:rPr>
      <w:rFonts w:ascii="Calibri" w:hAnsi="Calibri" w:eastAsia="宋体" w:cs="Calibri"/>
      <w:kern w:val="2"/>
      <w:sz w:val="18"/>
      <w:szCs w:val="18"/>
    </w:rPr>
  </w:style>
  <w:style w:type="character" w:customStyle="1" w:styleId="45">
    <w:name w:val="Comment Text Char1"/>
    <w:link w:val="7"/>
    <w:qFormat/>
    <w:locked/>
    <w:uiPriority w:val="99"/>
    <w:rPr>
      <w:rFonts w:ascii="Calibri" w:hAnsi="Calibri" w:eastAsia="宋体" w:cs="Calibri"/>
      <w:kern w:val="2"/>
      <w:sz w:val="24"/>
      <w:szCs w:val="24"/>
    </w:rPr>
  </w:style>
  <w:style w:type="character" w:customStyle="1" w:styleId="46">
    <w:name w:val="Editable"/>
    <w:qFormat/>
    <w:uiPriority w:val="99"/>
    <w:rPr>
      <w:rFonts w:ascii="Times New Roman" w:hAnsi="Times New Roman" w:eastAsia="宋体" w:cs="Times New Roman"/>
      <w:color w:val="62B5E5"/>
    </w:rPr>
  </w:style>
  <w:style w:type="character" w:customStyle="1" w:styleId="47">
    <w:name w:val="Editable table text Char"/>
    <w:link w:val="40"/>
    <w:qFormat/>
    <w:locked/>
    <w:uiPriority w:val="99"/>
    <w:rPr>
      <w:rFonts w:ascii="Frutiger LT Com 45 Light" w:hAnsi="Frutiger LT Com 45 Light" w:eastAsia="宋体" w:cs="Frutiger LT Com 45 Light"/>
      <w:color w:val="62B5E5"/>
      <w:sz w:val="24"/>
      <w:szCs w:val="24"/>
      <w:lang w:val="en-GB" w:eastAsia="en-US"/>
    </w:rPr>
  </w:style>
  <w:style w:type="character" w:customStyle="1" w:styleId="48">
    <w:name w:val="页码1"/>
    <w:qFormat/>
    <w:uiPriority w:val="99"/>
    <w:rPr>
      <w:rFonts w:ascii="Calibri" w:hAnsi="Calibri" w:eastAsia="宋体" w:cs="Calibri"/>
    </w:rPr>
  </w:style>
  <w:style w:type="table" w:customStyle="1" w:styleId="49">
    <w:name w:val="Table Normal"/>
    <w:semiHidden/>
    <w:unhideWhenUsed/>
    <w:qFormat/>
    <w:uiPriority w:val="0"/>
    <w:rPr>
      <w:rFonts w:ascii="Arial" w:hAnsi="Arial" w:eastAsia="宋体" w:cs="Arial"/>
      <w:snapToGrid w:val="0"/>
      <w:color w:val="000000"/>
      <w:sz w:val="21"/>
      <w:szCs w:val="21"/>
    </w:rPr>
    <w:tblPr>
      <w:tblCellMar>
        <w:top w:w="0" w:type="dxa"/>
        <w:left w:w="0" w:type="dxa"/>
        <w:bottom w:w="0" w:type="dxa"/>
        <w:right w:w="0" w:type="dxa"/>
      </w:tblCellMar>
    </w:tblPr>
  </w:style>
  <w:style w:type="paragraph" w:customStyle="1" w:styleId="50">
    <w:name w:val="WPSOffice手动目录 1"/>
    <w:qFormat/>
    <w:uiPriority w:val="0"/>
    <w:pPr>
      <w:ind w:leftChars="0"/>
    </w:pPr>
    <w:rPr>
      <w:rFonts w:ascii="Calibri" w:hAnsi="Calibri" w:eastAsia="宋体" w:cs="Times New Roman"/>
      <w:sz w:val="20"/>
      <w:szCs w:val="20"/>
    </w:rPr>
  </w:style>
  <w:style w:type="paragraph" w:customStyle="1" w:styleId="51">
    <w:name w:val="WPSOffice手动目录 2"/>
    <w:qFormat/>
    <w:uiPriority w:val="0"/>
    <w:pPr>
      <w:ind w:leftChars="20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28</Pages>
  <Words>11270</Words>
  <Characters>12591</Characters>
  <Lines>0</Lines>
  <Paragraphs>0</Paragraphs>
  <TotalTime>0</TotalTime>
  <ScaleCrop>false</ScaleCrop>
  <LinksUpToDate>false</LinksUpToDate>
  <CharactersWithSpaces>12735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2020-09-07T05:48:00Z</dcterms:created>
  <dc:creator>like</dc:creator>
  <cp:lastModifiedBy>WORD</cp:lastModifiedBy>
  <cp:lastPrinted>2020-09-03T17:39:00Z</cp:lastPrinted>
  <dcterms:modified xsi:type="dcterms:W3CDTF">2023-10-25T02:01:56Z</dcterms:modified>
  <dc:title>附件2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3F1E923B4D2F48C980B3F60F6CC69D3C</vt:lpwstr>
  </property>
</Properties>
</file>