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LinTimes" w:hAnsi="LinTimes" w:eastAsia="黑体" w:cs="Times New Roman"/>
        </w:rPr>
      </w:pPr>
      <w:bookmarkStart w:id="0" w:name="_Toc28224"/>
      <w:bookmarkStart w:id="1" w:name="_Toc24019"/>
      <w:r>
        <w:rPr>
          <w:rFonts w:hint="eastAsia" w:ascii="LinTimes" w:hAnsi="LinTimes" w:eastAsia="黑体" w:cs="黑体"/>
          <w:sz w:val="32"/>
          <w:szCs w:val="32"/>
        </w:rPr>
        <w:t>附件</w:t>
      </w:r>
      <w:r>
        <w:rPr>
          <w:rFonts w:ascii="LinTimes" w:hAnsi="LinTimes" w:eastAsia="黑体" w:cs="LinTimes"/>
          <w:sz w:val="32"/>
          <w:szCs w:val="32"/>
        </w:rPr>
        <w:t>5</w:t>
      </w:r>
      <w:bookmarkEnd w:id="0"/>
      <w:bookmarkEnd w:id="1"/>
    </w:p>
    <w:p>
      <w:pPr>
        <w:bidi w:val="0"/>
        <w:spacing w:line="360" w:lineRule="auto"/>
        <w:jc w:val="center"/>
        <w:rPr>
          <w:rFonts w:hint="eastAsia" w:ascii="华文中宋" w:hAnsi="华文中宋" w:eastAsia="华文中宋" w:cs="华文中宋"/>
          <w:b/>
          <w:bCs/>
          <w:sz w:val="44"/>
          <w:szCs w:val="44"/>
        </w:rPr>
      </w:pPr>
    </w:p>
    <w:p>
      <w:pPr>
        <w:pStyle w:val="2"/>
        <w:rPr>
          <w:rFonts w:hint="eastAsia" w:ascii="华文中宋" w:hAnsi="华文中宋" w:eastAsia="华文中宋" w:cs="华文中宋"/>
          <w:b/>
          <w:bCs/>
          <w:sz w:val="44"/>
          <w:szCs w:val="44"/>
        </w:rPr>
      </w:pPr>
    </w:p>
    <w:p>
      <w:pPr>
        <w:pStyle w:val="2"/>
        <w:rPr>
          <w:rFonts w:hint="eastAsia" w:ascii="华文中宋" w:hAnsi="华文中宋" w:eastAsia="华文中宋" w:cs="华文中宋"/>
          <w:b/>
          <w:bCs/>
          <w:sz w:val="44"/>
          <w:szCs w:val="44"/>
        </w:rPr>
      </w:pPr>
    </w:p>
    <w:p>
      <w:pPr>
        <w:bidi w:val="0"/>
        <w:spacing w:line="360" w:lineRule="auto"/>
        <w:jc w:val="center"/>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第三届全国新能源汽车关键技术技能大赛</w:t>
      </w:r>
    </w:p>
    <w:p>
      <w:pPr>
        <w:bidi w:val="0"/>
        <w:spacing w:line="360" w:lineRule="auto"/>
        <w:jc w:val="center"/>
        <w:rPr>
          <w:rFonts w:hint="eastAsia" w:ascii="华文中宋" w:hAnsi="华文中宋" w:eastAsia="华文中宋" w:cs="华文中宋"/>
          <w:b/>
          <w:bCs/>
          <w:sz w:val="44"/>
          <w:szCs w:val="44"/>
          <w:lang w:val="en-AU" w:eastAsia="zh-CN"/>
        </w:rPr>
      </w:pPr>
      <w:r>
        <w:rPr>
          <w:rFonts w:hint="eastAsia" w:ascii="华文中宋" w:hAnsi="华文中宋" w:eastAsia="华文中宋" w:cs="华文中宋"/>
          <w:b/>
          <w:bCs/>
          <w:sz w:val="44"/>
          <w:szCs w:val="44"/>
          <w:lang w:eastAsia="zh-CN"/>
        </w:rPr>
        <w:t>广西选拔赛</w:t>
      </w:r>
    </w:p>
    <w:p>
      <w:pPr>
        <w:bidi w:val="0"/>
        <w:spacing w:line="360" w:lineRule="auto"/>
        <w:jc w:val="center"/>
        <w:rPr>
          <w:rFonts w:hint="eastAsia" w:ascii="华文中宋" w:hAnsi="华文中宋" w:eastAsia="华文中宋" w:cs="华文中宋"/>
          <w:b/>
          <w:bCs/>
          <w:sz w:val="44"/>
          <w:szCs w:val="44"/>
          <w:lang w:val="en-AU" w:eastAsia="zh-CN"/>
        </w:rPr>
      </w:pPr>
      <w:r>
        <w:rPr>
          <w:rFonts w:hint="eastAsia" w:ascii="华文中宋" w:hAnsi="华文中宋" w:eastAsia="华文中宋" w:cs="华文中宋"/>
          <w:b/>
          <w:bCs/>
          <w:sz w:val="44"/>
          <w:szCs w:val="44"/>
          <w:lang w:val="en-AU" w:eastAsia="zh-CN"/>
        </w:rPr>
        <w:t>机动车检测工（车路协同技术方向）</w:t>
      </w:r>
      <w:r>
        <w:rPr>
          <w:rFonts w:hint="eastAsia" w:ascii="华文中宋" w:hAnsi="华文中宋" w:eastAsia="华文中宋" w:cs="华文中宋"/>
          <w:b/>
          <w:bCs/>
          <w:sz w:val="44"/>
          <w:szCs w:val="44"/>
          <w:lang w:eastAsia="zh-CN"/>
        </w:rPr>
        <w:t>项目</w:t>
      </w:r>
      <w:r>
        <w:rPr>
          <w:rFonts w:hint="eastAsia" w:ascii="华文中宋" w:hAnsi="华文中宋" w:eastAsia="华文中宋" w:cs="华文中宋"/>
          <w:b/>
          <w:bCs/>
          <w:sz w:val="44"/>
          <w:szCs w:val="44"/>
          <w:lang w:val="en-US" w:eastAsia="zh-CN"/>
        </w:rPr>
        <w:t xml:space="preserve">  </w:t>
      </w:r>
      <w:r>
        <w:rPr>
          <w:rFonts w:hint="eastAsia" w:ascii="华文中宋" w:hAnsi="华文中宋" w:eastAsia="华文中宋" w:cs="华文中宋"/>
          <w:b/>
          <w:bCs/>
          <w:sz w:val="44"/>
          <w:szCs w:val="44"/>
          <w:lang w:val="en-AU" w:eastAsia="zh-CN"/>
        </w:rPr>
        <w:t>技术工作文件（</w:t>
      </w:r>
      <w:r>
        <w:rPr>
          <w:rFonts w:hint="eastAsia" w:ascii="华文中宋" w:hAnsi="华文中宋" w:eastAsia="华文中宋" w:cs="华文中宋"/>
          <w:b/>
          <w:bCs/>
          <w:sz w:val="44"/>
          <w:szCs w:val="44"/>
          <w:lang w:val="en-US" w:eastAsia="zh-CN"/>
        </w:rPr>
        <w:t>学生组</w:t>
      </w:r>
      <w:r>
        <w:rPr>
          <w:rFonts w:hint="eastAsia" w:ascii="华文中宋" w:hAnsi="华文中宋" w:eastAsia="华文中宋" w:cs="华文中宋"/>
          <w:b/>
          <w:bCs/>
          <w:sz w:val="44"/>
          <w:szCs w:val="44"/>
          <w:lang w:val="en-AU" w:eastAsia="zh-CN"/>
        </w:rPr>
        <w:t>）</w:t>
      </w:r>
    </w:p>
    <w:p>
      <w:pPr>
        <w:pStyle w:val="6"/>
        <w:spacing w:line="360" w:lineRule="auto"/>
        <w:rPr>
          <w:rFonts w:hint="eastAsia" w:ascii="仿宋" w:hAnsi="仿宋" w:eastAsia="仿宋" w:cs="仿宋"/>
          <w:sz w:val="28"/>
          <w:szCs w:val="28"/>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pStyle w:val="6"/>
        <w:spacing w:line="360" w:lineRule="auto"/>
        <w:rPr>
          <w:rFonts w:hint="eastAsia" w:ascii="仿宋" w:hAnsi="仿宋" w:eastAsia="仿宋" w:cs="仿宋"/>
          <w:sz w:val="28"/>
          <w:szCs w:val="28"/>
          <w:lang w:eastAsia="zh-CN"/>
        </w:rPr>
      </w:pPr>
    </w:p>
    <w:p>
      <w:pPr>
        <w:spacing w:before="104" w:line="360" w:lineRule="auto"/>
        <w:jc w:val="center"/>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eastAsia="zh-CN"/>
        </w:rPr>
        <w:t>第三届全国新能源汽车关键技术技能大赛广西选拔赛</w:t>
      </w:r>
    </w:p>
    <w:p>
      <w:pPr>
        <w:spacing w:before="104"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3"/>
          <w:position w:val="20"/>
          <w:sz w:val="32"/>
          <w:szCs w:val="32"/>
          <w:lang w:eastAsia="zh-CN"/>
        </w:rPr>
        <w:t>组委会技术工作组</w:t>
      </w:r>
    </w:p>
    <w:p>
      <w:pPr>
        <w:spacing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2"/>
          <w:sz w:val="32"/>
          <w:szCs w:val="32"/>
          <w:lang w:eastAsia="zh-CN"/>
        </w:rPr>
        <w:t>2023年</w:t>
      </w:r>
      <w:r>
        <w:rPr>
          <w:rFonts w:hint="eastAsia" w:ascii="宋体" w:hAnsi="宋体" w:eastAsia="宋体" w:cs="宋体"/>
          <w:b/>
          <w:bCs/>
          <w:spacing w:val="16"/>
          <w:sz w:val="32"/>
          <w:szCs w:val="32"/>
          <w:lang w:eastAsia="zh-CN"/>
        </w:rPr>
        <w:t>10</w:t>
      </w:r>
      <w:r>
        <w:rPr>
          <w:rFonts w:hint="eastAsia" w:ascii="宋体" w:hAnsi="宋体" w:eastAsia="宋体" w:cs="宋体"/>
          <w:b/>
          <w:bCs/>
          <w:spacing w:val="-2"/>
          <w:sz w:val="32"/>
          <w:szCs w:val="32"/>
          <w:lang w:eastAsia="zh-CN"/>
        </w:rPr>
        <w:t>月</w:t>
      </w:r>
    </w:p>
    <w:p>
      <w:pPr>
        <w:spacing w:line="360" w:lineRule="auto"/>
        <w:rPr>
          <w:rFonts w:hint="eastAsia" w:ascii="仿宋" w:hAnsi="仿宋" w:eastAsia="仿宋" w:cs="仿宋"/>
          <w:sz w:val="36"/>
          <w:szCs w:val="36"/>
          <w:lang w:eastAsia="zh-CN"/>
        </w:rPr>
        <w:sectPr>
          <w:footerReference r:id="rId3" w:type="default"/>
          <w:pgSz w:w="11905" w:h="16834"/>
          <w:pgMar w:top="1430" w:right="1300" w:bottom="0" w:left="1785" w:header="227" w:footer="283" w:gutter="0"/>
          <w:pgNumType w:start="1"/>
          <w:cols w:space="720" w:num="1"/>
          <w:docGrid w:linePitch="286" w:charSpace="0"/>
        </w:sectPr>
      </w:pPr>
    </w:p>
    <w:sdt>
      <w:sdtPr>
        <w:rPr>
          <w:rFonts w:hint="eastAsia" w:ascii="仿宋" w:hAnsi="仿宋" w:eastAsia="仿宋" w:cs="仿宋"/>
          <w:snapToGrid w:val="0"/>
          <w:color w:val="000000"/>
          <w:sz w:val="28"/>
          <w:szCs w:val="28"/>
          <w:lang w:val="zh-CN" w:eastAsia="en-US"/>
        </w:rPr>
        <w:id w:val="1803342641"/>
        <w:docPartObj>
          <w:docPartGallery w:val="Table of Contents"/>
          <w:docPartUnique/>
        </w:docPartObj>
      </w:sdtPr>
      <w:sdtEndPr>
        <w:rPr>
          <w:rFonts w:hint="eastAsia" w:ascii="仿宋" w:hAnsi="仿宋" w:eastAsia="仿宋" w:cs="仿宋"/>
          <w:b/>
          <w:bCs/>
          <w:snapToGrid w:val="0"/>
          <w:color w:val="000000"/>
          <w:sz w:val="28"/>
          <w:szCs w:val="28"/>
          <w:lang w:val="zh-CN" w:eastAsia="en-US"/>
        </w:rPr>
      </w:sdtEndPr>
      <w:sdtContent>
        <w:p>
          <w:pPr>
            <w:pStyle w:val="22"/>
            <w:spacing w:line="360" w:lineRule="auto"/>
            <w:jc w:val="center"/>
            <w:rPr>
              <w:rFonts w:hint="eastAsia" w:ascii="仿宋" w:hAnsi="仿宋" w:eastAsia="仿宋" w:cs="仿宋"/>
              <w:b/>
              <w:bCs/>
              <w:sz w:val="28"/>
              <w:szCs w:val="28"/>
              <w:lang w:val="zh-CN"/>
            </w:rPr>
          </w:pPr>
          <w:r>
            <w:rPr>
              <w:rFonts w:hint="eastAsia" w:ascii="仿宋" w:hAnsi="仿宋" w:eastAsia="仿宋" w:cs="仿宋"/>
              <w:b/>
              <w:bCs/>
              <w:sz w:val="28"/>
              <w:szCs w:val="28"/>
              <w:lang w:val="zh-CN"/>
            </w:rPr>
            <w:t>目录</w:t>
          </w:r>
        </w:p>
        <w:p>
          <w:pPr>
            <w:spacing w:line="360" w:lineRule="auto"/>
            <w:rPr>
              <w:rFonts w:hint="eastAsia" w:ascii="仿宋" w:hAnsi="仿宋" w:eastAsia="仿宋" w:cs="仿宋"/>
              <w:sz w:val="28"/>
              <w:szCs w:val="28"/>
            </w:rPr>
          </w:pPr>
        </w:p>
        <w:p>
          <w:pPr>
            <w:pStyle w:val="10"/>
            <w:tabs>
              <w:tab w:val="right" w:leader="dot" w:pos="8335"/>
            </w:tabs>
            <w:spacing w:line="360" w:lineRule="auto"/>
            <w:rPr>
              <w:rFonts w:hint="eastAsia" w:ascii="仿宋" w:hAnsi="仿宋" w:eastAsia="仿宋" w:cs="仿宋"/>
              <w:sz w:val="28"/>
              <w:szCs w:val="28"/>
            </w:rPr>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TOC \o "1-3" \h \z \u </w:instrText>
          </w:r>
          <w:r>
            <w:rPr>
              <w:rFonts w:hint="eastAsia" w:ascii="仿宋" w:hAnsi="仿宋" w:eastAsia="仿宋" w:cs="仿宋"/>
              <w:b/>
              <w:bCs/>
              <w:sz w:val="28"/>
              <w:szCs w:val="28"/>
            </w:rPr>
            <w:fldChar w:fldCharType="separate"/>
          </w:r>
          <w:r>
            <w:rPr>
              <w:rFonts w:hint="eastAsia" w:ascii="仿宋" w:hAnsi="仿宋" w:eastAsia="仿宋" w:cs="仿宋"/>
              <w:bCs/>
              <w:sz w:val="28"/>
              <w:szCs w:val="28"/>
            </w:rPr>
            <w:fldChar w:fldCharType="begin"/>
          </w:r>
          <w:r>
            <w:rPr>
              <w:rFonts w:hint="eastAsia" w:ascii="仿宋" w:hAnsi="仿宋" w:eastAsia="仿宋" w:cs="仿宋"/>
              <w:bCs/>
              <w:sz w:val="28"/>
              <w:szCs w:val="28"/>
            </w:rPr>
            <w:instrText xml:space="preserve"> HYPERLINK \l _Toc27205 </w:instrText>
          </w:r>
          <w:r>
            <w:rPr>
              <w:rFonts w:hint="eastAsia" w:ascii="仿宋" w:hAnsi="仿宋" w:eastAsia="仿宋" w:cs="仿宋"/>
              <w:bCs/>
              <w:sz w:val="28"/>
              <w:szCs w:val="28"/>
            </w:rPr>
            <w:fldChar w:fldCharType="separate"/>
          </w:r>
          <w:r>
            <w:rPr>
              <w:rFonts w:hint="eastAsia" w:ascii="仿宋" w:hAnsi="仿宋" w:eastAsia="仿宋" w:cs="仿宋"/>
              <w:bCs w:val="0"/>
              <w:sz w:val="28"/>
              <w:szCs w:val="28"/>
              <w:lang w:eastAsia="zh-CN"/>
            </w:rPr>
            <w:t>一、技术描述</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_Toc27205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bCs/>
              <w:sz w:val="28"/>
              <w:szCs w:val="28"/>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_Toc15059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（一）赛项概要</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_Toc15059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_Toc3704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（二）基本知识与能力要求</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_Toc3704 \h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0"/>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_Toc14983 </w:instrText>
          </w:r>
          <w:r>
            <w:rPr>
              <w:rFonts w:hint="eastAsia" w:ascii="仿宋" w:hAnsi="仿宋" w:eastAsia="仿宋" w:cs="仿宋"/>
              <w:bCs/>
              <w:sz w:val="28"/>
              <w:szCs w:val="28"/>
              <w:lang w:val="zh-CN"/>
            </w:rPr>
            <w:fldChar w:fldCharType="separate"/>
          </w:r>
          <w:r>
            <w:rPr>
              <w:rFonts w:hint="eastAsia" w:ascii="仿宋" w:hAnsi="仿宋" w:eastAsia="仿宋" w:cs="仿宋"/>
              <w:bCs w:val="0"/>
              <w:sz w:val="28"/>
              <w:szCs w:val="28"/>
              <w:lang w:eastAsia="zh-CN"/>
            </w:rPr>
            <w:t>二、试题与评判标准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_Toc14983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_Toc7315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（一）试题（样题）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_Toc7315 \h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_Toc29238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（二）比赛时间及试题具体内容</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_Toc29238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_Toc12972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（三）评判标准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_Toc12972 \h </w:instrText>
          </w:r>
          <w:r>
            <w:rPr>
              <w:rFonts w:hint="eastAsia" w:ascii="仿宋" w:hAnsi="仿宋" w:eastAsia="仿宋" w:cs="仿宋"/>
              <w:sz w:val="28"/>
              <w:szCs w:val="28"/>
            </w:rPr>
            <w:fldChar w:fldCharType="separate"/>
          </w:r>
          <w:r>
            <w:rPr>
              <w:rFonts w:hint="eastAsia" w:ascii="仿宋" w:hAnsi="仿宋" w:eastAsia="仿宋" w:cs="仿宋"/>
              <w:sz w:val="28"/>
              <w:szCs w:val="28"/>
            </w:rPr>
            <w:t>6</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0"/>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_Toc20249 </w:instrText>
          </w:r>
          <w:r>
            <w:rPr>
              <w:rFonts w:hint="eastAsia" w:ascii="仿宋" w:hAnsi="仿宋" w:eastAsia="仿宋" w:cs="仿宋"/>
              <w:bCs/>
              <w:sz w:val="28"/>
              <w:szCs w:val="28"/>
              <w:lang w:val="zh-CN"/>
            </w:rPr>
            <w:fldChar w:fldCharType="separate"/>
          </w:r>
          <w:r>
            <w:rPr>
              <w:rFonts w:hint="eastAsia" w:ascii="仿宋" w:hAnsi="仿宋" w:eastAsia="仿宋" w:cs="仿宋"/>
              <w:bCs w:val="0"/>
              <w:sz w:val="28"/>
              <w:szCs w:val="28"/>
              <w:lang w:eastAsia="zh-CN"/>
            </w:rPr>
            <w:t>三、竞赛细则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_Toc20249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0"/>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_Toc14993 </w:instrText>
          </w:r>
          <w:r>
            <w:rPr>
              <w:rFonts w:hint="eastAsia" w:ascii="仿宋" w:hAnsi="仿宋" w:eastAsia="仿宋" w:cs="仿宋"/>
              <w:bCs/>
              <w:sz w:val="28"/>
              <w:szCs w:val="28"/>
              <w:lang w:val="zh-CN"/>
            </w:rPr>
            <w:fldChar w:fldCharType="separate"/>
          </w:r>
          <w:r>
            <w:rPr>
              <w:rFonts w:hint="eastAsia" w:ascii="仿宋" w:hAnsi="仿宋" w:eastAsia="仿宋" w:cs="仿宋"/>
              <w:bCs w:val="0"/>
              <w:sz w:val="28"/>
              <w:szCs w:val="28"/>
              <w:lang w:eastAsia="zh-CN"/>
            </w:rPr>
            <w:t>四、竞赛场地、设施设备等安排</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_Toc14993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_Toc26464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（一）赛场规格要求</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_Toc26464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_Toc16126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（二）场地布局图</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_Toc16126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1"/>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_Toc23283 </w:instrText>
          </w:r>
          <w:r>
            <w:rPr>
              <w:rFonts w:hint="eastAsia" w:ascii="仿宋" w:hAnsi="仿宋" w:eastAsia="仿宋" w:cs="仿宋"/>
              <w:bCs/>
              <w:sz w:val="28"/>
              <w:szCs w:val="28"/>
              <w:lang w:val="zh-CN"/>
            </w:rPr>
            <w:fldChar w:fldCharType="separate"/>
          </w:r>
          <w:r>
            <w:rPr>
              <w:rFonts w:hint="eastAsia" w:ascii="仿宋" w:hAnsi="仿宋" w:eastAsia="仿宋" w:cs="仿宋"/>
              <w:sz w:val="28"/>
              <w:szCs w:val="28"/>
              <w:lang w:eastAsia="zh-CN"/>
            </w:rPr>
            <w:t>（三）基础设施清单</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_Toc23283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pStyle w:val="10"/>
            <w:tabs>
              <w:tab w:val="right" w:leader="dot" w:pos="8335"/>
            </w:tabs>
            <w:spacing w:line="360" w:lineRule="auto"/>
            <w:rPr>
              <w:rFonts w:hint="eastAsia" w:ascii="仿宋" w:hAnsi="仿宋" w:eastAsia="仿宋" w:cs="仿宋"/>
              <w:sz w:val="28"/>
              <w:szCs w:val="28"/>
            </w:rPr>
          </w:pPr>
          <w:r>
            <w:rPr>
              <w:rFonts w:hint="eastAsia" w:ascii="仿宋" w:hAnsi="仿宋" w:eastAsia="仿宋" w:cs="仿宋"/>
              <w:bCs/>
              <w:sz w:val="28"/>
              <w:szCs w:val="28"/>
              <w:lang w:val="zh-CN"/>
            </w:rPr>
            <w:fldChar w:fldCharType="begin"/>
          </w:r>
          <w:r>
            <w:rPr>
              <w:rFonts w:hint="eastAsia" w:ascii="仿宋" w:hAnsi="仿宋" w:eastAsia="仿宋" w:cs="仿宋"/>
              <w:bCs/>
              <w:sz w:val="28"/>
              <w:szCs w:val="28"/>
              <w:lang w:val="zh-CN"/>
            </w:rPr>
            <w:instrText xml:space="preserve"> HYPERLINK \l _Toc10195 </w:instrText>
          </w:r>
          <w:r>
            <w:rPr>
              <w:rFonts w:hint="eastAsia" w:ascii="仿宋" w:hAnsi="仿宋" w:eastAsia="仿宋" w:cs="仿宋"/>
              <w:bCs/>
              <w:sz w:val="28"/>
              <w:szCs w:val="28"/>
              <w:lang w:val="zh-CN"/>
            </w:rPr>
            <w:fldChar w:fldCharType="separate"/>
          </w:r>
          <w:r>
            <w:rPr>
              <w:rFonts w:hint="eastAsia" w:ascii="仿宋" w:hAnsi="仿宋" w:eastAsia="仿宋" w:cs="仿宋"/>
              <w:bCs w:val="0"/>
              <w:sz w:val="28"/>
              <w:szCs w:val="28"/>
              <w:lang w:eastAsia="zh-CN"/>
            </w:rPr>
            <w:t>五、安全、健康要求</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_Toc10195 \h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bCs/>
              <w:sz w:val="28"/>
              <w:szCs w:val="28"/>
              <w:lang w:val="zh-CN"/>
            </w:rPr>
            <w:fldChar w:fldCharType="end"/>
          </w:r>
        </w:p>
        <w:p>
          <w:pPr>
            <w:spacing w:line="360" w:lineRule="auto"/>
            <w:rPr>
              <w:rFonts w:hint="eastAsia" w:ascii="仿宋" w:hAnsi="仿宋" w:eastAsia="仿宋" w:cs="仿宋"/>
              <w:b/>
              <w:bCs/>
              <w:sz w:val="28"/>
              <w:szCs w:val="28"/>
            </w:rPr>
          </w:pPr>
          <w:r>
            <w:rPr>
              <w:rFonts w:hint="eastAsia" w:ascii="仿宋" w:hAnsi="仿宋" w:eastAsia="仿宋" w:cs="仿宋"/>
              <w:bCs/>
              <w:sz w:val="28"/>
              <w:szCs w:val="28"/>
              <w:lang w:val="zh-CN"/>
            </w:rPr>
            <w:fldChar w:fldCharType="end"/>
          </w:r>
        </w:p>
      </w:sdtContent>
    </w:sdt>
    <w:p>
      <w:pPr>
        <w:pStyle w:val="6"/>
        <w:spacing w:line="360" w:lineRule="auto"/>
        <w:rPr>
          <w:rFonts w:hint="eastAsia" w:ascii="仿宋" w:hAnsi="仿宋" w:eastAsia="仿宋" w:cs="仿宋"/>
          <w:sz w:val="28"/>
          <w:szCs w:val="28"/>
          <w:lang w:eastAsia="zh-CN"/>
        </w:rPr>
      </w:pPr>
    </w:p>
    <w:p>
      <w:pPr>
        <w:spacing w:before="273" w:line="360" w:lineRule="auto"/>
        <w:ind w:right="13"/>
        <w:jc w:val="right"/>
        <w:rPr>
          <w:rFonts w:hint="eastAsia" w:ascii="仿宋" w:hAnsi="仿宋" w:eastAsia="仿宋" w:cs="仿宋"/>
          <w:sz w:val="28"/>
          <w:szCs w:val="28"/>
        </w:rPr>
      </w:pPr>
    </w:p>
    <w:p>
      <w:pPr>
        <w:spacing w:line="360" w:lineRule="auto"/>
        <w:rPr>
          <w:rFonts w:hint="eastAsia" w:ascii="仿宋" w:hAnsi="仿宋" w:eastAsia="仿宋" w:cs="仿宋"/>
          <w:sz w:val="28"/>
          <w:szCs w:val="28"/>
        </w:rPr>
        <w:sectPr>
          <w:pgSz w:w="11905" w:h="16834"/>
          <w:pgMar w:top="1430" w:right="1785" w:bottom="0" w:left="1785" w:header="0" w:footer="283" w:gutter="0"/>
          <w:pgNumType w:fmt="upperRoman" w:start="1"/>
          <w:cols w:space="720" w:num="1"/>
          <w:docGrid w:linePitch="286" w:charSpace="0"/>
        </w:sectPr>
      </w:pPr>
    </w:p>
    <w:p>
      <w:pPr>
        <w:pStyle w:val="3"/>
        <w:keepNext/>
        <w:keepLines/>
        <w:pageBreakBefore w:val="0"/>
        <w:widowControl/>
        <w:kinsoku w:val="0"/>
        <w:wordWrap/>
        <w:overflowPunct/>
        <w:topLinePunct w:val="0"/>
        <w:autoSpaceDE w:val="0"/>
        <w:autoSpaceDN w:val="0"/>
        <w:bidi w:val="0"/>
        <w:adjustRightInd w:val="0"/>
        <w:snapToGrid w:val="0"/>
        <w:spacing w:before="287" w:beforeLines="100" w:after="287" w:afterLines="100" w:line="360" w:lineRule="auto"/>
        <w:textAlignment w:val="baseline"/>
        <w:rPr>
          <w:rFonts w:hint="eastAsia" w:ascii="仿宋" w:hAnsi="仿宋" w:eastAsia="仿宋" w:cs="仿宋"/>
          <w:b/>
          <w:bCs/>
          <w:sz w:val="32"/>
          <w:szCs w:val="32"/>
          <w:lang w:eastAsia="zh-CN"/>
        </w:rPr>
      </w:pPr>
      <w:bookmarkStart w:id="2" w:name="_Toc27205"/>
      <w:r>
        <w:rPr>
          <w:rFonts w:hint="eastAsia" w:ascii="仿宋" w:hAnsi="仿宋" w:eastAsia="仿宋" w:cs="仿宋"/>
          <w:b/>
          <w:bCs/>
          <w:sz w:val="32"/>
          <w:szCs w:val="32"/>
          <w:lang w:eastAsia="zh-CN"/>
        </w:rPr>
        <w:t>一、技术描述</w:t>
      </w:r>
      <w:bookmarkEnd w:id="2"/>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3" w:name="_Toc15059"/>
      <w:r>
        <w:rPr>
          <w:rFonts w:hint="eastAsia" w:ascii="仿宋" w:hAnsi="仿宋" w:eastAsia="仿宋" w:cs="仿宋"/>
          <w:sz w:val="28"/>
          <w:szCs w:val="28"/>
          <w:lang w:eastAsia="zh-CN"/>
        </w:rPr>
        <w:t>（一）赛项概要</w:t>
      </w:r>
      <w:bookmarkEnd w:id="3"/>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为深入学习贯彻习近平总书记对技能人才工作的重要指示精神，落实国家、自治区关于高技能人才队伍建设工作的决策部署，加快培养和选拔新能源汽车关键技术领域高素质技能人才，根据《人力资源社会保障部 中国机械工业联合会关于举办2023年全国行业职业技能竞赛——第三届全国新能源汽车关键技术技能大赛的通知》（人社部函〔2023〕</w:t>
      </w:r>
      <w:r>
        <w:rPr>
          <w:rFonts w:hint="eastAsia" w:ascii="仿宋" w:hAnsi="仿宋" w:eastAsia="仿宋" w:cs="仿宋"/>
          <w:sz w:val="28"/>
          <w:szCs w:val="28"/>
          <w:lang w:val="en-US" w:eastAsia="zh-CN" w:bidi="ar"/>
        </w:rPr>
        <w:t>103</w:t>
      </w:r>
      <w:r>
        <w:rPr>
          <w:rFonts w:hint="eastAsia" w:ascii="仿宋" w:hAnsi="仿宋" w:eastAsia="仿宋" w:cs="仿宋"/>
          <w:sz w:val="28"/>
          <w:szCs w:val="28"/>
          <w:lang w:eastAsia="zh-CN" w:bidi="ar"/>
        </w:rPr>
        <w:t>号）要求，自治区人力资源社会保障厅、工业和信息化厅、总工会、广西机械工业联合会决定共同举办第三届全国新能源汽车关键技术技能大赛广西选拔赛</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本赛项重点考查选手针对车路协同技术根据任务要求，进行智能化零件的安装，包括雷达、摄像头、组合导航、自动驾驶处理器、毫米波雷达等。对所装配的智能化零部件进行调试和故障排查，包括关键智能化感知故障排除、线控车辆故障排除、线束连接故障检修等内容。在充分理解车路协同技术车辆各传感器、控制器、执行器工作原理的基础上，根据车路协同测试中出现的故障场景，在仿真平台完成故障分析、判断，并进行故障排除操作，完成虚拟仿真场景测试。</w:t>
      </w:r>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4" w:name="_Toc3704"/>
      <w:r>
        <w:rPr>
          <w:rFonts w:hint="eastAsia" w:ascii="仿宋" w:hAnsi="仿宋" w:eastAsia="仿宋" w:cs="仿宋"/>
          <w:sz w:val="28"/>
          <w:szCs w:val="28"/>
          <w:lang w:eastAsia="zh-CN"/>
        </w:rPr>
        <w:t>（二）基本知识与能力要求</w:t>
      </w:r>
      <w:bookmarkEnd w:id="4"/>
    </w:p>
    <w:p>
      <w:pPr>
        <w:spacing w:line="360" w:lineRule="auto"/>
        <w:rPr>
          <w:rFonts w:hint="eastAsia" w:ascii="仿宋" w:hAnsi="仿宋" w:eastAsia="仿宋" w:cs="仿宋"/>
          <w:sz w:val="28"/>
          <w:szCs w:val="28"/>
          <w:lang w:eastAsia="zh-CN"/>
        </w:rPr>
      </w:pPr>
    </w:p>
    <w:tbl>
      <w:tblPr>
        <w:tblStyle w:val="17"/>
        <w:tblW w:w="911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5412"/>
        <w:gridCol w:w="20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jc w:val="center"/>
        </w:trPr>
        <w:tc>
          <w:tcPr>
            <w:tcW w:w="7109" w:type="dxa"/>
            <w:gridSpan w:val="2"/>
          </w:tcPr>
          <w:p>
            <w:pPr>
              <w:pStyle w:val="18"/>
              <w:spacing w:before="69" w:line="360" w:lineRule="auto"/>
              <w:ind w:left="756"/>
              <w:jc w:val="cente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t>相关要求</w:t>
            </w:r>
          </w:p>
        </w:tc>
        <w:tc>
          <w:tcPr>
            <w:tcW w:w="2006" w:type="dxa"/>
          </w:tcPr>
          <w:p>
            <w:pPr>
              <w:pStyle w:val="18"/>
              <w:spacing w:before="86" w:line="360" w:lineRule="auto"/>
              <w:jc w:val="right"/>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pPr>
            <w: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t>权重比例（%）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1697" w:type="dxa"/>
          </w:tcPr>
          <w:p>
            <w:pPr>
              <w:pStyle w:val="18"/>
              <w:spacing w:before="83" w:line="360" w:lineRule="auto"/>
              <w:ind w:left="744"/>
              <w:rPr>
                <w:rFonts w:hint="eastAsia" w:ascii="仿宋" w:hAnsi="仿宋" w:eastAsia="仿宋" w:cs="仿宋"/>
                <w:sz w:val="28"/>
                <w:szCs w:val="28"/>
              </w:rPr>
            </w:pPr>
            <w:r>
              <w:rPr>
                <w:rFonts w:hint="eastAsia" w:ascii="仿宋" w:hAnsi="仿宋" w:eastAsia="仿宋" w:cs="仿宋"/>
                <w:b/>
                <w:bCs/>
                <w:sz w:val="28"/>
                <w:szCs w:val="28"/>
              </w:rPr>
              <w:t>1</w:t>
            </w:r>
          </w:p>
        </w:tc>
        <w:tc>
          <w:tcPr>
            <w:tcW w:w="5412" w:type="dxa"/>
          </w:tcPr>
          <w:p>
            <w:pPr>
              <w:pStyle w:val="18"/>
              <w:spacing w:before="69" w:line="360" w:lineRule="auto"/>
              <w:jc w:val="cente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pPr>
            <w:r>
              <w:rPr>
                <w:rFonts w:hint="eastAsia" w:ascii="仿宋" w:hAnsi="仿宋" w:eastAsia="仿宋" w:cs="仿宋"/>
                <w:spacing w:val="-1"/>
                <w:sz w:val="28"/>
                <w:szCs w:val="28"/>
                <w:lang w:val="en-US" w:eastAsia="zh-CN"/>
                <w14:textOutline w14:w="3048" w14:cap="flat" w14:cmpd="sng" w14:algn="ctr">
                  <w14:solidFill>
                    <w14:srgbClr w14:val="000000"/>
                  </w14:solidFill>
                  <w14:prstDash w14:val="solid"/>
                  <w14:miter w14:val="0"/>
                </w14:textOutline>
              </w:rPr>
              <w:t>理论考试</w:t>
            </w:r>
          </w:p>
        </w:tc>
        <w:tc>
          <w:tcPr>
            <w:tcW w:w="2006" w:type="dxa"/>
            <w:vMerge w:val="restart"/>
            <w:tcBorders>
              <w:bottom w:val="nil"/>
            </w:tcBorders>
          </w:tcPr>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pStyle w:val="18"/>
              <w:spacing w:before="83" w:line="360" w:lineRule="auto"/>
              <w:ind w:left="744"/>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jc w:val="center"/>
        </w:trPr>
        <w:tc>
          <w:tcPr>
            <w:tcW w:w="1697" w:type="dxa"/>
          </w:tcPr>
          <w:p>
            <w:pPr>
              <w:spacing w:line="360" w:lineRule="auto"/>
              <w:rPr>
                <w:rFonts w:hint="eastAsia" w:ascii="仿宋" w:hAnsi="仿宋" w:eastAsia="仿宋" w:cs="仿宋"/>
                <w:sz w:val="28"/>
                <w:szCs w:val="28"/>
              </w:rPr>
            </w:pPr>
          </w:p>
          <w:p>
            <w:pPr>
              <w:spacing w:before="78" w:line="360" w:lineRule="auto"/>
              <w:jc w:val="center"/>
              <w:rPr>
                <w:rFonts w:hint="eastAsia" w:ascii="仿宋" w:hAnsi="仿宋" w:eastAsia="仿宋" w:cs="仿宋"/>
                <w:sz w:val="28"/>
                <w:szCs w:val="28"/>
              </w:rPr>
            </w:pPr>
            <w:r>
              <w:rPr>
                <w:rFonts w:hint="eastAsia" w:ascii="仿宋" w:hAnsi="仿宋" w:eastAsia="仿宋" w:cs="仿宋"/>
                <w:sz w:val="28"/>
                <w:szCs w:val="28"/>
                <w:lang w:eastAsia="zh-CN"/>
              </w:rPr>
              <w:t>基本知识</w:t>
            </w:r>
          </w:p>
        </w:tc>
        <w:tc>
          <w:tcPr>
            <w:tcW w:w="5412" w:type="dxa"/>
          </w:tcPr>
          <w:p>
            <w:pPr>
              <w:pStyle w:val="18"/>
              <w:spacing w:before="140"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了解</w:t>
            </w:r>
            <w:r>
              <w:rPr>
                <w:rFonts w:hint="eastAsia" w:ascii="仿宋" w:hAnsi="仿宋" w:eastAsia="仿宋" w:cs="仿宋"/>
                <w:sz w:val="28"/>
                <w:szCs w:val="28"/>
                <w:lang w:val="en-US" w:eastAsia="zh-CN"/>
              </w:rPr>
              <w:t>智能网联汽车技术、</w:t>
            </w:r>
            <w:r>
              <w:rPr>
                <w:rFonts w:hint="eastAsia" w:ascii="仿宋" w:hAnsi="仿宋" w:eastAsia="仿宋" w:cs="仿宋"/>
                <w:sz w:val="28"/>
                <w:szCs w:val="28"/>
                <w:lang w:eastAsia="zh-CN"/>
              </w:rPr>
              <w:t>雷达探测技术、机器视觉技术、车辆姿态感知技术、信息融合技术等基本原理。</w:t>
            </w:r>
          </w:p>
        </w:tc>
        <w:tc>
          <w:tcPr>
            <w:tcW w:w="2006" w:type="dxa"/>
            <w:vMerge w:val="continue"/>
            <w:tcBorders>
              <w:top w:val="nil"/>
              <w:bottom w:val="nil"/>
            </w:tcBorders>
          </w:tcPr>
          <w:p>
            <w:pPr>
              <w:spacing w:line="360" w:lineRule="auto"/>
              <w:rPr>
                <w:rFonts w:hint="eastAsia" w:ascii="仿宋" w:hAnsi="仿宋" w:eastAsia="仿宋" w:cs="仿宋"/>
                <w:sz w:val="28"/>
                <w:szCs w:val="2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jc w:val="center"/>
        </w:trPr>
        <w:tc>
          <w:tcPr>
            <w:tcW w:w="1697" w:type="dxa"/>
          </w:tcPr>
          <w:p>
            <w:pPr>
              <w:spacing w:line="360" w:lineRule="auto"/>
              <w:rPr>
                <w:rFonts w:hint="eastAsia" w:ascii="仿宋" w:hAnsi="仿宋" w:eastAsia="仿宋" w:cs="仿宋"/>
                <w:sz w:val="28"/>
                <w:szCs w:val="28"/>
                <w:lang w:eastAsia="zh-CN"/>
              </w:rPr>
            </w:pPr>
          </w:p>
          <w:p>
            <w:pPr>
              <w:spacing w:before="78" w:line="360" w:lineRule="auto"/>
              <w:jc w:val="center"/>
              <w:rPr>
                <w:rFonts w:hint="eastAsia" w:ascii="仿宋" w:hAnsi="仿宋" w:eastAsia="仿宋" w:cs="仿宋"/>
                <w:sz w:val="28"/>
                <w:szCs w:val="28"/>
              </w:rPr>
            </w:pPr>
            <w:r>
              <w:rPr>
                <w:rFonts w:hint="eastAsia" w:ascii="仿宋" w:hAnsi="仿宋" w:eastAsia="仿宋" w:cs="仿宋"/>
                <w:sz w:val="28"/>
                <w:szCs w:val="28"/>
                <w:lang w:eastAsia="zh-CN"/>
              </w:rPr>
              <w:t>工作能力</w:t>
            </w:r>
          </w:p>
        </w:tc>
        <w:tc>
          <w:tcPr>
            <w:tcW w:w="5412" w:type="dxa"/>
          </w:tcPr>
          <w:p>
            <w:pPr>
              <w:pStyle w:val="18"/>
              <w:spacing w:before="140" w:line="360" w:lineRule="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具有智能传感器、计算平台、线控底盘、智能座舱等系统（部件）</w:t>
            </w:r>
            <w:r>
              <w:rPr>
                <w:rFonts w:hint="eastAsia" w:ascii="仿宋" w:hAnsi="仿宋" w:eastAsia="仿宋" w:cs="仿宋"/>
                <w:sz w:val="28"/>
                <w:szCs w:val="28"/>
                <w:lang w:val="en-US" w:eastAsia="zh-CN"/>
              </w:rPr>
              <w:t>等理论知识。</w:t>
            </w:r>
          </w:p>
        </w:tc>
        <w:tc>
          <w:tcPr>
            <w:tcW w:w="2006" w:type="dxa"/>
            <w:vMerge w:val="continue"/>
            <w:tcBorders>
              <w:top w:val="nil"/>
            </w:tcBorders>
          </w:tcPr>
          <w:p>
            <w:pPr>
              <w:spacing w:line="360" w:lineRule="auto"/>
              <w:rPr>
                <w:rFonts w:hint="eastAsia" w:ascii="仿宋" w:hAnsi="仿宋" w:eastAsia="仿宋" w:cs="仿宋"/>
                <w:sz w:val="28"/>
                <w:szCs w:val="2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jc w:val="center"/>
        </w:trPr>
        <w:tc>
          <w:tcPr>
            <w:tcW w:w="1697" w:type="dxa"/>
          </w:tcPr>
          <w:p>
            <w:pPr>
              <w:pStyle w:val="18"/>
              <w:spacing w:before="83" w:line="360" w:lineRule="auto"/>
              <w:ind w:left="744"/>
              <w:rPr>
                <w:rFonts w:hint="eastAsia" w:ascii="仿宋" w:hAnsi="仿宋" w:eastAsia="仿宋" w:cs="仿宋"/>
                <w:sz w:val="28"/>
                <w:szCs w:val="28"/>
              </w:rPr>
            </w:pPr>
            <w:r>
              <w:rPr>
                <w:rFonts w:hint="eastAsia" w:ascii="仿宋" w:hAnsi="仿宋" w:eastAsia="仿宋" w:cs="仿宋"/>
                <w:b/>
                <w:bCs/>
                <w:sz w:val="28"/>
                <w:szCs w:val="28"/>
              </w:rPr>
              <w:t>2</w:t>
            </w:r>
          </w:p>
        </w:tc>
        <w:tc>
          <w:tcPr>
            <w:tcW w:w="5412" w:type="dxa"/>
          </w:tcPr>
          <w:p>
            <w:pPr>
              <w:pStyle w:val="18"/>
              <w:spacing w:before="69" w:line="360" w:lineRule="auto"/>
              <w:jc w:val="center"/>
              <w:rPr>
                <w:rFonts w:hint="eastAsia" w:ascii="仿宋" w:hAnsi="仿宋" w:eastAsia="仿宋" w:cs="仿宋"/>
                <w:sz w:val="28"/>
                <w:szCs w:val="28"/>
              </w:rPr>
            </w:pPr>
            <w: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t>智能化零部件的</w:t>
            </w:r>
            <w:r>
              <w:rPr>
                <w:rFonts w:hint="eastAsia" w:ascii="仿宋" w:hAnsi="仿宋" w:eastAsia="仿宋" w:cs="仿宋"/>
                <w:spacing w:val="-1"/>
                <w:sz w:val="28"/>
                <w:szCs w:val="28"/>
                <w:lang w:val="en-US" w:eastAsia="zh-CN"/>
                <w14:textOutline w14:w="3048" w14:cap="flat" w14:cmpd="sng" w14:algn="ctr">
                  <w14:solidFill>
                    <w14:srgbClr w14:val="000000"/>
                  </w14:solidFill>
                  <w14:prstDash w14:val="solid"/>
                  <w14:miter w14:val="0"/>
                </w14:textOutline>
              </w:rPr>
              <w:t>装配及</w:t>
            </w:r>
            <w: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t>故障排查</w:t>
            </w:r>
          </w:p>
        </w:tc>
        <w:tc>
          <w:tcPr>
            <w:tcW w:w="2006" w:type="dxa"/>
            <w:vMerge w:val="restart"/>
          </w:tcPr>
          <w:p>
            <w:pPr>
              <w:pStyle w:val="18"/>
              <w:spacing w:before="83" w:line="360" w:lineRule="auto"/>
              <w:ind w:left="744"/>
              <w:rPr>
                <w:rFonts w:hint="eastAsia" w:ascii="仿宋" w:hAnsi="仿宋" w:eastAsia="仿宋" w:cs="仿宋"/>
                <w:b/>
                <w:bCs/>
                <w:sz w:val="28"/>
                <w:szCs w:val="28"/>
              </w:rPr>
            </w:pPr>
          </w:p>
          <w:p>
            <w:pPr>
              <w:pStyle w:val="18"/>
              <w:spacing w:before="83" w:line="360" w:lineRule="auto"/>
              <w:ind w:left="744"/>
              <w:rPr>
                <w:rFonts w:hint="eastAsia" w:ascii="仿宋" w:hAnsi="仿宋" w:eastAsia="仿宋" w:cs="仿宋"/>
                <w:b/>
                <w:bCs/>
                <w:sz w:val="28"/>
                <w:szCs w:val="28"/>
              </w:rPr>
            </w:pPr>
          </w:p>
          <w:p>
            <w:pPr>
              <w:pStyle w:val="18"/>
              <w:spacing w:before="83" w:line="360" w:lineRule="auto"/>
              <w:ind w:left="744"/>
              <w:rPr>
                <w:rFonts w:hint="eastAsia" w:ascii="仿宋" w:hAnsi="仿宋" w:eastAsia="仿宋" w:cs="仿宋"/>
                <w:b/>
                <w:bCs/>
                <w:sz w:val="28"/>
                <w:szCs w:val="28"/>
              </w:rPr>
            </w:pPr>
          </w:p>
          <w:p>
            <w:pPr>
              <w:pStyle w:val="18"/>
              <w:spacing w:before="83" w:line="360" w:lineRule="auto"/>
              <w:ind w:left="744"/>
              <w:rPr>
                <w:rFonts w:hint="eastAsia" w:ascii="仿宋" w:hAnsi="仿宋" w:eastAsia="仿宋" w:cs="仿宋"/>
                <w:b/>
                <w:bCs/>
                <w:sz w:val="28"/>
                <w:szCs w:val="28"/>
              </w:rPr>
            </w:pPr>
            <w:r>
              <w:rPr>
                <w:rFonts w:hint="eastAsia" w:ascii="仿宋" w:hAnsi="仿宋" w:eastAsia="仿宋" w:cs="仿宋"/>
                <w:b/>
                <w:bCs/>
                <w:sz w:val="28"/>
                <w:szCs w:val="28"/>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1697" w:type="dxa"/>
          </w:tcPr>
          <w:p>
            <w:pPr>
              <w:spacing w:line="360" w:lineRule="auto"/>
              <w:rPr>
                <w:rFonts w:hint="eastAsia" w:ascii="仿宋" w:hAnsi="仿宋" w:eastAsia="仿宋" w:cs="仿宋"/>
                <w:sz w:val="28"/>
                <w:szCs w:val="28"/>
                <w:lang w:eastAsia="zh-CN"/>
              </w:rPr>
            </w:pPr>
          </w:p>
          <w:p>
            <w:pPr>
              <w:spacing w:before="78"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基本知识</w:t>
            </w:r>
          </w:p>
        </w:tc>
        <w:tc>
          <w:tcPr>
            <w:tcW w:w="5412" w:type="dxa"/>
          </w:tcPr>
          <w:p>
            <w:pPr>
              <w:pStyle w:val="18"/>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智能传感器装调与测试、计算平台部署与测试、底盘线控系统装调与测试、智能座舱系统装调与测试、车路协同系统装调与测试、智能网联整车综合测试、汽车电气及电控系统检修。</w:t>
            </w:r>
          </w:p>
        </w:tc>
        <w:tc>
          <w:tcPr>
            <w:tcW w:w="2006" w:type="dxa"/>
            <w:vMerge w:val="continue"/>
          </w:tcPr>
          <w:p>
            <w:pPr>
              <w:spacing w:line="360" w:lineRule="auto"/>
              <w:rPr>
                <w:rFonts w:hint="eastAsia" w:ascii="仿宋" w:hAnsi="仿宋" w:eastAsia="仿宋" w:cs="仿宋"/>
                <w:sz w:val="28"/>
                <w:szCs w:val="2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jc w:val="center"/>
        </w:trPr>
        <w:tc>
          <w:tcPr>
            <w:tcW w:w="1697" w:type="dxa"/>
          </w:tcPr>
          <w:p>
            <w:pPr>
              <w:spacing w:line="360" w:lineRule="auto"/>
              <w:rPr>
                <w:rFonts w:hint="eastAsia" w:ascii="仿宋" w:hAnsi="仿宋" w:eastAsia="仿宋" w:cs="仿宋"/>
                <w:sz w:val="28"/>
                <w:szCs w:val="28"/>
                <w:lang w:eastAsia="zh-CN"/>
              </w:rPr>
            </w:pPr>
          </w:p>
          <w:p>
            <w:pPr>
              <w:spacing w:before="78"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工作能力</w:t>
            </w:r>
          </w:p>
        </w:tc>
        <w:tc>
          <w:tcPr>
            <w:tcW w:w="5412" w:type="dxa"/>
          </w:tcPr>
          <w:p>
            <w:pPr>
              <w:pStyle w:val="18"/>
              <w:spacing w:before="140"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具有生产现场班组、设备、质量、安全生产等组织管理的能力</w:t>
            </w:r>
          </w:p>
          <w:p>
            <w:pPr>
              <w:pStyle w:val="18"/>
              <w:spacing w:before="140"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具有整车标定与测试的能力</w:t>
            </w:r>
          </w:p>
          <w:p>
            <w:pPr>
              <w:pStyle w:val="18"/>
              <w:spacing w:before="140"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具有维修故障车辆的能力</w:t>
            </w:r>
          </w:p>
        </w:tc>
        <w:tc>
          <w:tcPr>
            <w:tcW w:w="2006" w:type="dxa"/>
            <w:vMerge w:val="continue"/>
          </w:tcPr>
          <w:p>
            <w:pPr>
              <w:spacing w:line="360" w:lineRule="auto"/>
              <w:rPr>
                <w:rFonts w:hint="eastAsia" w:ascii="仿宋" w:hAnsi="仿宋" w:eastAsia="仿宋" w:cs="仿宋"/>
                <w:sz w:val="28"/>
                <w:szCs w:val="2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 w:hRule="atLeast"/>
          <w:jc w:val="center"/>
        </w:trPr>
        <w:tc>
          <w:tcPr>
            <w:tcW w:w="1697" w:type="dxa"/>
          </w:tcPr>
          <w:p>
            <w:pPr>
              <w:pStyle w:val="18"/>
              <w:spacing w:before="83" w:line="360" w:lineRule="auto"/>
              <w:ind w:left="744"/>
              <w:rPr>
                <w:rFonts w:hint="eastAsia" w:ascii="仿宋" w:hAnsi="仿宋" w:eastAsia="仿宋" w:cs="仿宋"/>
                <w:sz w:val="28"/>
                <w:szCs w:val="28"/>
                <w:lang w:eastAsia="zh-CN"/>
              </w:rPr>
            </w:pPr>
            <w:r>
              <w:rPr>
                <w:rFonts w:hint="eastAsia" w:ascii="仿宋" w:hAnsi="仿宋" w:eastAsia="仿宋" w:cs="仿宋"/>
                <w:b/>
                <w:bCs/>
                <w:sz w:val="28"/>
                <w:szCs w:val="28"/>
              </w:rPr>
              <w:t>3</w:t>
            </w:r>
          </w:p>
        </w:tc>
        <w:tc>
          <w:tcPr>
            <w:tcW w:w="5412" w:type="dxa"/>
          </w:tcPr>
          <w:p>
            <w:pPr>
              <w:pStyle w:val="18"/>
              <w:spacing w:before="69" w:line="360" w:lineRule="auto"/>
              <w:jc w:val="center"/>
              <w:rPr>
                <w:rFonts w:hint="eastAsia" w:ascii="仿宋" w:hAnsi="仿宋" w:eastAsia="仿宋" w:cs="仿宋"/>
                <w:sz w:val="28"/>
                <w:szCs w:val="28"/>
                <w:lang w:eastAsia="zh-CN"/>
              </w:rPr>
            </w:pPr>
            <w: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t>虚拟仿真的故障排除</w:t>
            </w:r>
          </w:p>
        </w:tc>
        <w:tc>
          <w:tcPr>
            <w:tcW w:w="2006" w:type="dxa"/>
            <w:vMerge w:val="restart"/>
          </w:tcPr>
          <w:p>
            <w:pPr>
              <w:pStyle w:val="18"/>
              <w:spacing w:before="69" w:line="360" w:lineRule="auto"/>
              <w:ind w:left="756"/>
              <w:rPr>
                <w:rFonts w:hint="eastAsia" w:ascii="仿宋" w:hAnsi="仿宋" w:eastAsia="仿宋" w:cs="仿宋"/>
                <w:b/>
                <w:bCs/>
                <w:sz w:val="28"/>
                <w:szCs w:val="28"/>
              </w:rPr>
            </w:pPr>
          </w:p>
          <w:p>
            <w:pPr>
              <w:pStyle w:val="18"/>
              <w:spacing w:before="69" w:line="360" w:lineRule="auto"/>
              <w:ind w:left="756"/>
              <w:rPr>
                <w:rFonts w:hint="eastAsia" w:ascii="仿宋" w:hAnsi="仿宋" w:eastAsia="仿宋" w:cs="仿宋"/>
                <w:b/>
                <w:bCs/>
                <w:sz w:val="28"/>
                <w:szCs w:val="28"/>
              </w:rPr>
            </w:pPr>
          </w:p>
          <w:p>
            <w:pPr>
              <w:pStyle w:val="18"/>
              <w:spacing w:before="83" w:line="360" w:lineRule="auto"/>
              <w:ind w:left="744"/>
              <w:rPr>
                <w:rFonts w:hint="eastAsia" w:ascii="仿宋" w:hAnsi="仿宋" w:eastAsia="仿宋" w:cs="仿宋"/>
                <w:b/>
                <w:bCs/>
                <w:sz w:val="28"/>
                <w:szCs w:val="28"/>
              </w:rPr>
            </w:pPr>
          </w:p>
          <w:p>
            <w:pPr>
              <w:pStyle w:val="18"/>
              <w:spacing w:before="83" w:line="360" w:lineRule="auto"/>
              <w:ind w:left="744"/>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1697" w:type="dxa"/>
          </w:tcPr>
          <w:p>
            <w:pPr>
              <w:spacing w:before="191"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基本知识</w:t>
            </w:r>
          </w:p>
        </w:tc>
        <w:tc>
          <w:tcPr>
            <w:tcW w:w="5412" w:type="dxa"/>
          </w:tcPr>
          <w:p>
            <w:pPr>
              <w:pStyle w:val="18"/>
              <w:spacing w:before="140" w:line="360" w:lineRule="auto"/>
              <w:ind w:left="114"/>
              <w:rPr>
                <w:rFonts w:hint="eastAsia" w:ascii="仿宋" w:hAnsi="仿宋" w:eastAsia="仿宋" w:cs="仿宋"/>
                <w:sz w:val="28"/>
                <w:szCs w:val="28"/>
                <w:lang w:eastAsia="zh-CN"/>
              </w:rPr>
            </w:pPr>
            <w:r>
              <w:rPr>
                <w:rFonts w:hint="eastAsia" w:ascii="仿宋" w:hAnsi="仿宋" w:eastAsia="仿宋" w:cs="仿宋"/>
                <w:sz w:val="28"/>
                <w:szCs w:val="28"/>
                <w:lang w:eastAsia="zh-CN"/>
              </w:rPr>
              <w:t>车路协同车辆各传感器、控制器、执行器工作原理</w:t>
            </w:r>
          </w:p>
        </w:tc>
        <w:tc>
          <w:tcPr>
            <w:tcW w:w="2006" w:type="dxa"/>
            <w:vMerge w:val="continue"/>
          </w:tcPr>
          <w:p>
            <w:pPr>
              <w:spacing w:line="360" w:lineRule="auto"/>
              <w:rPr>
                <w:rFonts w:hint="eastAsia" w:ascii="仿宋" w:hAnsi="仿宋" w:eastAsia="仿宋" w:cs="仿宋"/>
                <w:sz w:val="28"/>
                <w:szCs w:val="2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697" w:type="dxa"/>
          </w:tcPr>
          <w:p>
            <w:pPr>
              <w:spacing w:before="191"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工作能力</w:t>
            </w:r>
          </w:p>
        </w:tc>
        <w:tc>
          <w:tcPr>
            <w:tcW w:w="5412" w:type="dxa"/>
          </w:tcPr>
          <w:p>
            <w:pPr>
              <w:pStyle w:val="18"/>
              <w:spacing w:before="140"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具有搭建整车测试场景、记录和分析测试数据的能力</w:t>
            </w:r>
          </w:p>
        </w:tc>
        <w:tc>
          <w:tcPr>
            <w:tcW w:w="2006" w:type="dxa"/>
            <w:vMerge w:val="continue"/>
          </w:tcPr>
          <w:p>
            <w:pPr>
              <w:spacing w:line="360" w:lineRule="auto"/>
              <w:rPr>
                <w:rFonts w:hint="eastAsia" w:ascii="仿宋" w:hAnsi="仿宋" w:eastAsia="仿宋" w:cs="仿宋"/>
                <w:sz w:val="28"/>
                <w:szCs w:val="28"/>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1697" w:type="dxa"/>
          </w:tcPr>
          <w:p>
            <w:pPr>
              <w:spacing w:before="191" w:line="360" w:lineRule="auto"/>
              <w:jc w:val="center"/>
              <w:rPr>
                <w:rFonts w:hint="eastAsia" w:ascii="仿宋" w:hAnsi="仿宋" w:eastAsia="仿宋" w:cs="仿宋"/>
                <w:spacing w:val="-2"/>
                <w:sz w:val="28"/>
                <w:szCs w:val="28"/>
                <w:lang w:eastAsia="zh-CN"/>
              </w:rPr>
            </w:pPr>
            <w:r>
              <w:rPr>
                <w:rFonts w:hint="eastAsia" w:ascii="仿宋" w:hAnsi="仿宋" w:eastAsia="仿宋" w:cs="仿宋"/>
                <w:spacing w:val="-1"/>
                <w:sz w:val="28"/>
                <w:szCs w:val="28"/>
                <w:lang w:eastAsia="zh-CN"/>
                <w14:textOutline w14:w="3048" w14:cap="flat" w14:cmpd="sng" w14:algn="ctr">
                  <w14:solidFill>
                    <w14:srgbClr w14:val="000000"/>
                  </w14:solidFill>
                  <w14:prstDash w14:val="solid"/>
                  <w14:miter w14:val="0"/>
                </w14:textOutline>
              </w:rPr>
              <w:t>合计</w:t>
            </w:r>
          </w:p>
        </w:tc>
        <w:tc>
          <w:tcPr>
            <w:tcW w:w="5412" w:type="dxa"/>
          </w:tcPr>
          <w:p>
            <w:pPr>
              <w:pStyle w:val="18"/>
              <w:spacing w:before="140" w:line="360" w:lineRule="auto"/>
              <w:ind w:left="114"/>
              <w:rPr>
                <w:rFonts w:hint="eastAsia" w:ascii="仿宋" w:hAnsi="仿宋" w:eastAsia="仿宋" w:cs="仿宋"/>
                <w:spacing w:val="1"/>
                <w:position w:val="13"/>
                <w:sz w:val="28"/>
                <w:szCs w:val="28"/>
                <w:lang w:eastAsia="zh-CN"/>
              </w:rPr>
            </w:pPr>
          </w:p>
        </w:tc>
        <w:tc>
          <w:tcPr>
            <w:tcW w:w="2006" w:type="dxa"/>
          </w:tcPr>
          <w:p>
            <w:pPr>
              <w:pStyle w:val="18"/>
              <w:spacing w:before="83" w:line="360" w:lineRule="auto"/>
              <w:ind w:left="744"/>
              <w:rPr>
                <w:rFonts w:hint="eastAsia" w:ascii="仿宋" w:hAnsi="仿宋" w:eastAsia="仿宋" w:cs="仿宋"/>
                <w:b/>
                <w:bCs/>
                <w:sz w:val="28"/>
                <w:szCs w:val="28"/>
              </w:rPr>
            </w:pPr>
            <w:r>
              <w:rPr>
                <w:rFonts w:hint="eastAsia" w:ascii="仿宋" w:hAnsi="仿宋" w:eastAsia="仿宋" w:cs="仿宋"/>
                <w:b/>
                <w:bCs/>
                <w:sz w:val="28"/>
                <w:szCs w:val="28"/>
              </w:rPr>
              <w:t>100</w:t>
            </w:r>
          </w:p>
        </w:tc>
      </w:tr>
    </w:tbl>
    <w:p>
      <w:pPr>
        <w:pStyle w:val="6"/>
        <w:spacing w:line="360" w:lineRule="auto"/>
        <w:rPr>
          <w:rFonts w:hint="eastAsia" w:ascii="仿宋" w:hAnsi="仿宋" w:eastAsia="仿宋" w:cs="仿宋"/>
          <w:sz w:val="28"/>
          <w:szCs w:val="28"/>
          <w:lang w:eastAsia="zh-CN"/>
        </w:rPr>
      </w:pPr>
    </w:p>
    <w:p>
      <w:pPr>
        <w:spacing w:line="360" w:lineRule="auto"/>
        <w:rPr>
          <w:rFonts w:hint="eastAsia" w:ascii="仿宋" w:hAnsi="仿宋" w:eastAsia="仿宋" w:cs="仿宋"/>
          <w:sz w:val="28"/>
          <w:szCs w:val="28"/>
          <w:lang w:eastAsia="zh-CN"/>
        </w:rPr>
      </w:pPr>
    </w:p>
    <w:p>
      <w:pPr>
        <w:pStyle w:val="3"/>
        <w:keepNext/>
        <w:keepLines/>
        <w:pageBreakBefore w:val="0"/>
        <w:widowControl/>
        <w:kinsoku w:val="0"/>
        <w:wordWrap/>
        <w:overflowPunct/>
        <w:topLinePunct w:val="0"/>
        <w:autoSpaceDE w:val="0"/>
        <w:autoSpaceDN w:val="0"/>
        <w:bidi w:val="0"/>
        <w:adjustRightInd w:val="0"/>
        <w:snapToGrid w:val="0"/>
        <w:spacing w:before="287" w:beforeLines="100" w:after="287" w:afterLines="100" w:line="360" w:lineRule="auto"/>
        <w:textAlignment w:val="baseline"/>
        <w:rPr>
          <w:rFonts w:hint="eastAsia" w:ascii="仿宋" w:hAnsi="仿宋" w:eastAsia="仿宋" w:cs="仿宋"/>
          <w:b/>
          <w:bCs/>
          <w:sz w:val="32"/>
          <w:szCs w:val="32"/>
          <w:lang w:eastAsia="zh-CN"/>
        </w:rPr>
      </w:pPr>
      <w:bookmarkStart w:id="5" w:name="_Toc14983"/>
      <w:r>
        <w:rPr>
          <w:rFonts w:hint="eastAsia" w:ascii="仿宋" w:hAnsi="仿宋" w:eastAsia="仿宋" w:cs="仿宋"/>
          <w:b/>
          <w:bCs/>
          <w:sz w:val="32"/>
          <w:szCs w:val="32"/>
          <w:lang w:eastAsia="zh-CN"/>
        </w:rPr>
        <w:t>二、试题与评判标准</w:t>
      </w:r>
      <w:bookmarkEnd w:id="5"/>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6" w:name="_Toc7315"/>
      <w:r>
        <w:rPr>
          <w:rFonts w:hint="eastAsia" w:ascii="仿宋" w:hAnsi="仿宋" w:eastAsia="仿宋" w:cs="仿宋"/>
          <w:sz w:val="28"/>
          <w:szCs w:val="28"/>
          <w:lang w:eastAsia="zh-CN"/>
        </w:rPr>
        <w:t>（一）试题（样题）</w:t>
      </w:r>
      <w:bookmarkEnd w:id="6"/>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机动车检测工（车路协同技术方向）考核分为两个模块分别为模块A实车装调，主要考察智能化零件的安装，包括雷达、摄像头、组合导航、自动驾驶处理器、毫米波雷达等。对所装配的智能化零部件进行调试和故障排查，包括关键智能化感知故障排除、线控车辆故障排除、线束连接故障检修等内容。模块B仿真平台测试，主要考察在充分理解车路协同技术车辆各传感器、控制器、执行器工作原理的基础上，根据车路协同测试中出现的故障场景，在仿真平台完成故障分析、判断，并进行故障排除操作，完成虚拟仿真场景测试。</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777"/>
        <w:gridCol w:w="4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3" w:type="pct"/>
            <w:vAlign w:val="center"/>
          </w:tcPr>
          <w:p>
            <w:pPr>
              <w:spacing w:line="360" w:lineRule="auto"/>
              <w:jc w:val="center"/>
              <w:rPr>
                <w:rFonts w:hint="eastAsia" w:ascii="仿宋" w:hAnsi="仿宋" w:eastAsia="仿宋" w:cs="仿宋"/>
                <w:b/>
                <w:bCs/>
                <w:sz w:val="28"/>
                <w:szCs w:val="28"/>
              </w:rPr>
            </w:pPr>
            <w:bookmarkStart w:id="7" w:name="_Hlk148169473"/>
            <w:r>
              <w:rPr>
                <w:rFonts w:hint="eastAsia" w:ascii="仿宋" w:hAnsi="仿宋" w:eastAsia="仿宋" w:cs="仿宋"/>
                <w:b/>
                <w:bCs/>
                <w:sz w:val="28"/>
                <w:szCs w:val="28"/>
              </w:rPr>
              <w:t>职业（工种）</w:t>
            </w:r>
          </w:p>
        </w:tc>
        <w:tc>
          <w:tcPr>
            <w:tcW w:w="1486" w:type="pct"/>
            <w:vAlign w:val="center"/>
          </w:tcPr>
          <w:p>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考核模块</w:t>
            </w:r>
          </w:p>
        </w:tc>
        <w:tc>
          <w:tcPr>
            <w:tcW w:w="2330" w:type="pct"/>
            <w:vAlign w:val="center"/>
          </w:tcPr>
          <w:p>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3" w:type="pct"/>
            <w:vMerge w:val="restart"/>
            <w:vAlign w:val="center"/>
          </w:tcPr>
          <w:p>
            <w:pPr>
              <w:spacing w:line="360" w:lineRule="auto"/>
              <w:jc w:val="center"/>
              <w:rPr>
                <w:rFonts w:hint="eastAsia" w:ascii="仿宋" w:hAnsi="仿宋" w:eastAsia="仿宋" w:cs="仿宋"/>
                <w:sz w:val="28"/>
                <w:szCs w:val="28"/>
                <w:lang w:eastAsia="zh-CN" w:bidi="ar"/>
              </w:rPr>
            </w:pPr>
            <w:bookmarkStart w:id="8" w:name="_Hlk148169117"/>
            <w:r>
              <w:rPr>
                <w:rFonts w:hint="eastAsia" w:ascii="仿宋" w:hAnsi="仿宋" w:eastAsia="仿宋" w:cs="仿宋"/>
                <w:sz w:val="28"/>
                <w:szCs w:val="28"/>
                <w:lang w:eastAsia="zh-CN" w:bidi="ar"/>
              </w:rPr>
              <w:t>机动车检测工</w:t>
            </w:r>
          </w:p>
          <w:p>
            <w:pPr>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bidi="ar"/>
              </w:rPr>
              <w:t>（车路协同技术方向）</w:t>
            </w:r>
          </w:p>
        </w:tc>
        <w:tc>
          <w:tcPr>
            <w:tcW w:w="1486" w:type="pct"/>
            <w:vAlign w:val="center"/>
          </w:tcPr>
          <w:p>
            <w:pPr>
              <w:spacing w:line="360" w:lineRule="auto"/>
              <w:jc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理论考试</w:t>
            </w:r>
          </w:p>
        </w:tc>
        <w:tc>
          <w:tcPr>
            <w:tcW w:w="2330" w:type="pct"/>
            <w:tcBorders>
              <w:bottom w:val="single" w:color="auto" w:sz="2" w:space="0"/>
            </w:tcBorders>
            <w:vAlign w:val="center"/>
          </w:tcPr>
          <w:p>
            <w:pPr>
              <w:spacing w:line="360" w:lineRule="auto"/>
              <w:jc w:val="center"/>
              <w:rPr>
                <w:rFonts w:hint="eastAsia" w:ascii="仿宋" w:hAnsi="仿宋" w:eastAsia="仿宋" w:cs="仿宋"/>
                <w:sz w:val="28"/>
                <w:szCs w:val="28"/>
                <w:lang w:val="en-US" w:eastAsia="zh-CN" w:bidi="ar"/>
              </w:rPr>
            </w:pPr>
            <w:r>
              <w:rPr>
                <w:rFonts w:hint="eastAsia" w:ascii="仿宋" w:hAnsi="仿宋" w:eastAsia="仿宋" w:cs="仿宋"/>
                <w:sz w:val="28"/>
                <w:szCs w:val="28"/>
                <w:lang w:val="en-US" w:eastAsia="zh-CN" w:bidi="ar"/>
              </w:rPr>
              <w:t>智能网联汽车理论知识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3" w:type="pct"/>
            <w:vMerge w:val="continue"/>
            <w:vAlign w:val="center"/>
          </w:tcPr>
          <w:p>
            <w:pPr>
              <w:spacing w:line="360" w:lineRule="auto"/>
              <w:jc w:val="center"/>
              <w:rPr>
                <w:rFonts w:hint="eastAsia" w:ascii="仿宋" w:hAnsi="仿宋" w:eastAsia="仿宋" w:cs="仿宋"/>
                <w:sz w:val="28"/>
                <w:szCs w:val="28"/>
                <w:lang w:eastAsia="zh-CN"/>
              </w:rPr>
            </w:pPr>
          </w:p>
        </w:tc>
        <w:tc>
          <w:tcPr>
            <w:tcW w:w="1486" w:type="pct"/>
            <w:vAlign w:val="center"/>
          </w:tcPr>
          <w:p>
            <w:pPr>
              <w:spacing w:line="360" w:lineRule="auto"/>
              <w:jc w:val="center"/>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模块A</w:t>
            </w:r>
          </w:p>
          <w:p>
            <w:pPr>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bidi="ar"/>
              </w:rPr>
              <w:t>实车装调与故障排除</w:t>
            </w:r>
          </w:p>
        </w:tc>
        <w:tc>
          <w:tcPr>
            <w:tcW w:w="2330" w:type="pct"/>
            <w:tcBorders>
              <w:bottom w:val="single" w:color="auto" w:sz="2" w:space="0"/>
            </w:tcBorders>
            <w:vAlign w:val="center"/>
          </w:tcPr>
          <w:p>
            <w:pPr>
              <w:spacing w:line="360" w:lineRule="auto"/>
              <w:ind w:firstLine="560" w:firstLineChars="200"/>
              <w:rPr>
                <w:rFonts w:hint="eastAsia" w:ascii="仿宋" w:hAnsi="仿宋" w:eastAsia="仿宋" w:cs="仿宋"/>
                <w:sz w:val="28"/>
                <w:szCs w:val="28"/>
                <w:lang w:eastAsia="zh-CN" w:bidi="ar"/>
              </w:rPr>
            </w:pPr>
            <w:bookmarkStart w:id="9" w:name="_Hlk148169345"/>
            <w:r>
              <w:rPr>
                <w:rFonts w:hint="eastAsia" w:ascii="仿宋" w:hAnsi="仿宋" w:eastAsia="仿宋" w:cs="仿宋"/>
                <w:sz w:val="28"/>
                <w:szCs w:val="28"/>
                <w:lang w:eastAsia="zh-CN" w:bidi="ar"/>
              </w:rPr>
              <w:t>1.根据任务要求，进行智能化零件的安装，包括雷达、摄像头、组合导航、自动驾驶处理器、毫米波雷达等。</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bidi="ar"/>
              </w:rPr>
              <w:t>2.根据任务要求，对所装配的智能化零部件进行调试和故障排查，包括关键智能化感知故障排除、线控车辆故障排除、线束连接故障检修等内容。</w:t>
            </w:r>
            <w:bookmarkEnd w:id="9"/>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3" w:type="pct"/>
            <w:vMerge w:val="continue"/>
            <w:vAlign w:val="center"/>
          </w:tcPr>
          <w:p>
            <w:pPr>
              <w:spacing w:line="360" w:lineRule="auto"/>
              <w:jc w:val="center"/>
              <w:rPr>
                <w:rFonts w:hint="eastAsia" w:ascii="仿宋" w:hAnsi="仿宋" w:eastAsia="仿宋" w:cs="仿宋"/>
                <w:sz w:val="28"/>
                <w:szCs w:val="28"/>
                <w:lang w:eastAsia="zh-CN"/>
              </w:rPr>
            </w:pPr>
          </w:p>
        </w:tc>
        <w:tc>
          <w:tcPr>
            <w:tcW w:w="1486" w:type="pct"/>
            <w:vAlign w:val="center"/>
          </w:tcPr>
          <w:p>
            <w:pPr>
              <w:spacing w:line="360" w:lineRule="auto"/>
              <w:jc w:val="center"/>
              <w:rPr>
                <w:rFonts w:hint="eastAsia" w:ascii="仿宋" w:hAnsi="仿宋" w:eastAsia="仿宋" w:cs="仿宋"/>
                <w:sz w:val="28"/>
                <w:szCs w:val="28"/>
                <w:lang w:bidi="ar"/>
              </w:rPr>
            </w:pPr>
            <w:r>
              <w:rPr>
                <w:rFonts w:hint="eastAsia" w:ascii="仿宋" w:hAnsi="仿宋" w:eastAsia="仿宋" w:cs="仿宋"/>
                <w:sz w:val="28"/>
                <w:szCs w:val="28"/>
                <w:lang w:bidi="ar"/>
              </w:rPr>
              <w:t>模块B</w:t>
            </w:r>
          </w:p>
          <w:p>
            <w:pPr>
              <w:spacing w:line="360" w:lineRule="auto"/>
              <w:jc w:val="center"/>
              <w:rPr>
                <w:rFonts w:hint="eastAsia" w:ascii="仿宋" w:hAnsi="仿宋" w:eastAsia="仿宋" w:cs="仿宋"/>
                <w:sz w:val="28"/>
                <w:szCs w:val="28"/>
              </w:rPr>
            </w:pPr>
            <w:r>
              <w:rPr>
                <w:rFonts w:hint="eastAsia" w:ascii="仿宋" w:hAnsi="仿宋" w:eastAsia="仿宋" w:cs="仿宋"/>
                <w:sz w:val="28"/>
                <w:szCs w:val="28"/>
                <w:lang w:bidi="ar"/>
              </w:rPr>
              <w:t>仿真平台测试</w:t>
            </w:r>
          </w:p>
        </w:tc>
        <w:tc>
          <w:tcPr>
            <w:tcW w:w="2330" w:type="pct"/>
            <w:tcBorders>
              <w:top w:val="single" w:color="auto" w:sz="2" w:space="0"/>
            </w:tcBorders>
            <w:vAlign w:val="center"/>
          </w:tcPr>
          <w:p>
            <w:pPr>
              <w:spacing w:line="360" w:lineRule="auto"/>
              <w:ind w:firstLine="560" w:firstLineChars="200"/>
              <w:rPr>
                <w:rFonts w:hint="eastAsia" w:ascii="仿宋" w:hAnsi="仿宋" w:eastAsia="仿宋" w:cs="仿宋"/>
                <w:sz w:val="28"/>
                <w:szCs w:val="28"/>
                <w:lang w:eastAsia="zh-CN"/>
              </w:rPr>
            </w:pPr>
            <w:bookmarkStart w:id="10" w:name="_Hlk148169166"/>
            <w:r>
              <w:rPr>
                <w:rFonts w:hint="eastAsia" w:ascii="仿宋" w:hAnsi="仿宋" w:eastAsia="仿宋" w:cs="仿宋"/>
                <w:sz w:val="28"/>
                <w:szCs w:val="28"/>
                <w:lang w:eastAsia="zh-CN" w:bidi="ar"/>
              </w:rPr>
              <w:t>在充分理解车路协同技术车辆各传感器、控制器、执行器工作原理的基础上，根据车路协同测试中出现的故障场景，在仿真平台完成故障分析、判断，并进行故障排除操作，完成虚拟仿真场景测试。</w:t>
            </w:r>
            <w:bookmarkEnd w:id="10"/>
          </w:p>
        </w:tc>
      </w:tr>
      <w:bookmarkEnd w:id="7"/>
    </w:tbl>
    <w:p>
      <w:pPr>
        <w:spacing w:before="1" w:line="360" w:lineRule="auto"/>
        <w:ind w:left="43"/>
        <w:rPr>
          <w:rFonts w:hint="eastAsia" w:ascii="仿宋" w:hAnsi="仿宋" w:eastAsia="仿宋" w:cs="仿宋"/>
          <w:sz w:val="28"/>
          <w:szCs w:val="28"/>
          <w:lang w:eastAsia="zh-CN"/>
        </w:rPr>
      </w:pPr>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11" w:name="_Toc29238"/>
      <w:r>
        <w:rPr>
          <w:rFonts w:hint="eastAsia" w:ascii="仿宋" w:hAnsi="仿宋" w:eastAsia="仿宋" w:cs="仿宋"/>
          <w:sz w:val="28"/>
          <w:szCs w:val="28"/>
          <w:lang w:eastAsia="zh-CN"/>
        </w:rPr>
        <w:t>（二）比赛时间及试题具体内容</w:t>
      </w:r>
      <w:bookmarkEnd w:id="11"/>
    </w:p>
    <w:p>
      <w:pPr>
        <w:spacing w:line="360" w:lineRule="auto"/>
        <w:ind w:firstLine="560" w:firstLineChars="200"/>
        <w:rPr>
          <w:rFonts w:hint="eastAsia" w:ascii="仿宋" w:hAnsi="仿宋" w:eastAsia="仿宋" w:cs="仿宋"/>
          <w:sz w:val="28"/>
          <w:szCs w:val="28"/>
          <w:lang w:val="en-US" w:eastAsia="zh-CN" w:bidi="ar"/>
        </w:rPr>
      </w:pPr>
      <w:r>
        <w:rPr>
          <w:rFonts w:hint="eastAsia" w:ascii="仿宋" w:hAnsi="仿宋" w:eastAsia="仿宋" w:cs="仿宋"/>
          <w:sz w:val="28"/>
          <w:szCs w:val="28"/>
          <w:lang w:eastAsia="zh-CN" w:bidi="ar"/>
        </w:rPr>
        <w:t>本次竞赛内容</w:t>
      </w:r>
      <w:r>
        <w:rPr>
          <w:rFonts w:hint="eastAsia" w:ascii="仿宋" w:hAnsi="仿宋" w:eastAsia="仿宋" w:cs="仿宋"/>
          <w:sz w:val="28"/>
          <w:szCs w:val="28"/>
          <w:lang w:val="en-US" w:eastAsia="zh-CN" w:bidi="ar"/>
        </w:rPr>
        <w:t>为理论和实操两部分，其中实操包含</w:t>
      </w:r>
      <w:r>
        <w:rPr>
          <w:rFonts w:hint="eastAsia" w:ascii="仿宋" w:hAnsi="仿宋" w:eastAsia="仿宋" w:cs="仿宋"/>
          <w:sz w:val="28"/>
          <w:szCs w:val="28"/>
          <w:lang w:eastAsia="zh-CN" w:bidi="ar"/>
        </w:rPr>
        <w:t>为“模块A实车装调与故障排除”和“模块B仿真平台测试”</w:t>
      </w:r>
      <w:r>
        <w:rPr>
          <w:rFonts w:hint="eastAsia" w:ascii="仿宋" w:hAnsi="仿宋" w:eastAsia="仿宋" w:cs="仿宋"/>
          <w:sz w:val="28"/>
          <w:szCs w:val="28"/>
          <w:lang w:val="en-US" w:eastAsia="zh-CN" w:bidi="ar"/>
        </w:rPr>
        <w:t>两个任务</w:t>
      </w:r>
      <w:r>
        <w:rPr>
          <w:rFonts w:hint="eastAsia" w:ascii="仿宋" w:hAnsi="仿宋" w:eastAsia="仿宋" w:cs="仿宋"/>
          <w:sz w:val="28"/>
          <w:szCs w:val="28"/>
          <w:lang w:eastAsia="zh-CN" w:bidi="ar"/>
        </w:rPr>
        <w:t>，</w:t>
      </w:r>
      <w:r>
        <w:rPr>
          <w:rFonts w:hint="eastAsia" w:ascii="仿宋" w:hAnsi="仿宋" w:eastAsia="仿宋" w:cs="仿宋"/>
          <w:sz w:val="28"/>
          <w:szCs w:val="28"/>
          <w:lang w:val="en-US" w:eastAsia="zh-CN" w:bidi="ar"/>
        </w:rPr>
        <w:t>理论占总比分的20%，实操占总比分的80%</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val="en-US" w:eastAsia="zh-CN" w:bidi="ar"/>
        </w:rPr>
        <w:t>实操考核时间</w:t>
      </w:r>
      <w:r>
        <w:rPr>
          <w:rFonts w:hint="eastAsia" w:ascii="仿宋" w:hAnsi="仿宋" w:eastAsia="仿宋" w:cs="仿宋"/>
          <w:sz w:val="28"/>
          <w:szCs w:val="28"/>
          <w:lang w:eastAsia="zh-CN" w:bidi="ar"/>
        </w:rPr>
        <w:t>模块A考试时间为</w:t>
      </w:r>
      <w:r>
        <w:rPr>
          <w:rFonts w:hint="eastAsia" w:ascii="仿宋" w:hAnsi="仿宋" w:eastAsia="仿宋" w:cs="仿宋"/>
          <w:sz w:val="28"/>
          <w:szCs w:val="28"/>
          <w:lang w:val="en-US" w:eastAsia="zh-CN" w:bidi="ar"/>
        </w:rPr>
        <w:t>30</w:t>
      </w:r>
      <w:r>
        <w:rPr>
          <w:rFonts w:hint="eastAsia" w:ascii="仿宋" w:hAnsi="仿宋" w:eastAsia="仿宋" w:cs="仿宋"/>
          <w:sz w:val="28"/>
          <w:szCs w:val="28"/>
          <w:lang w:eastAsia="zh-CN" w:bidi="ar"/>
        </w:rPr>
        <w:t>分钟，模块B为</w:t>
      </w:r>
      <w:r>
        <w:rPr>
          <w:rFonts w:hint="eastAsia" w:ascii="仿宋" w:hAnsi="仿宋" w:eastAsia="仿宋" w:cs="仿宋"/>
          <w:sz w:val="28"/>
          <w:szCs w:val="28"/>
          <w:lang w:val="en-US" w:eastAsia="zh-CN" w:bidi="ar"/>
        </w:rPr>
        <w:t>30</w:t>
      </w:r>
      <w:r>
        <w:rPr>
          <w:rFonts w:hint="eastAsia" w:ascii="仿宋" w:hAnsi="仿宋" w:eastAsia="仿宋" w:cs="仿宋"/>
          <w:sz w:val="28"/>
          <w:szCs w:val="28"/>
          <w:lang w:eastAsia="zh-CN" w:bidi="ar"/>
        </w:rPr>
        <w:t>分钟。模块A主要考察智能化零件的安装，包括雷达、摄像头、组合导航、自动驾驶处理器、毫米波雷达等。根据任务要求，对所装配的智能化零部件进行调试和故障排查，包括关键智能化感知故障排除、线控车辆故障排除、线束连接故障检修等内容。模块B主要考察在充分理解车路协同技术车辆各传感器、控制器、执行器工作原理的基础上，根据车路协同测试中出现的故障场景，在仿真平台完成故障分析、判断，并进行故障排除操作，完成虚拟仿真场景测试。</w:t>
      </w:r>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12" w:name="_Toc12972"/>
      <w:r>
        <w:rPr>
          <w:rFonts w:hint="eastAsia" w:ascii="仿宋" w:hAnsi="仿宋" w:eastAsia="仿宋" w:cs="仿宋"/>
          <w:sz w:val="28"/>
          <w:szCs w:val="28"/>
          <w:lang w:eastAsia="zh-CN"/>
        </w:rPr>
        <w:t>（三）评判标准</w:t>
      </w:r>
      <w:bookmarkEnd w:id="12"/>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赛项裁判组负责赛项成绩评定工作。评分标准以“公平、公正、公开”为原则：</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1.选手的比赛成绩评定由大赛裁判组负责；</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2.实际操作比赛成绩，由过程评分、结果评分和违规扣分三部分组成；</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过程评分。由现场裁判根据评分细则，对选手在比赛过程中工具、刀具、量具、仪器的选择和使用、操作步骤、操作方法、操作规范性、操作结果等诸方面进行评分；</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结果评分。裁判员将根据任务书要求的竞赛任务，对参赛队比赛作品完成质量进行评判；</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违规扣分。由裁判员根据技术文件的规定，对选手比赛过程中的违规行为予以扣分；</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裁判员依据评分方法和过程要求规范、统一、标准，保证对所有选手一致公平。</w:t>
      </w:r>
    </w:p>
    <w:p>
      <w:pPr>
        <w:numPr>
          <w:ilvl w:val="0"/>
          <w:numId w:val="1"/>
        </w:num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选手比赛名次，按照总成绩从高分到低分依次排定。实际操作竞赛得分相同时，以比赛用时少者优先；若比赛用时还相同，则按照竞赛任务书和技术文件规定，以规定的分项得分高且用时少者优先。</w:t>
      </w:r>
    </w:p>
    <w:p>
      <w:pPr>
        <w:pStyle w:val="12"/>
        <w:numPr>
          <w:ilvl w:val="0"/>
          <w:numId w:val="0"/>
        </w:numPr>
        <w:rPr>
          <w:rFonts w:hint="eastAsia"/>
          <w:lang w:eastAsia="zh-CN"/>
        </w:rPr>
      </w:pP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1557"/>
        <w:gridCol w:w="312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6" w:type="pct"/>
            <w:vAlign w:val="center"/>
          </w:tcPr>
          <w:p>
            <w:pPr>
              <w:spacing w:line="36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职业（工种）</w:t>
            </w:r>
          </w:p>
        </w:tc>
        <w:tc>
          <w:tcPr>
            <w:tcW w:w="833" w:type="pct"/>
            <w:vAlign w:val="center"/>
          </w:tcPr>
          <w:p>
            <w:pPr>
              <w:spacing w:line="36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考核模块</w:t>
            </w:r>
          </w:p>
        </w:tc>
        <w:tc>
          <w:tcPr>
            <w:tcW w:w="1669" w:type="pct"/>
            <w:vAlign w:val="center"/>
          </w:tcPr>
          <w:p>
            <w:pPr>
              <w:spacing w:line="36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考核内容</w:t>
            </w:r>
          </w:p>
        </w:tc>
        <w:tc>
          <w:tcPr>
            <w:tcW w:w="1300" w:type="pct"/>
          </w:tcPr>
          <w:p>
            <w:pPr>
              <w:spacing w:line="36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权重比例（%）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6" w:type="pct"/>
            <w:vMerge w:val="restart"/>
            <w:vAlign w:val="center"/>
          </w:tcPr>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机动车检测工</w:t>
            </w: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（车路协同技术方向）</w:t>
            </w:r>
          </w:p>
        </w:tc>
        <w:tc>
          <w:tcPr>
            <w:tcW w:w="833" w:type="pct"/>
            <w:vAlign w:val="center"/>
          </w:tcPr>
          <w:p>
            <w:pPr>
              <w:spacing w:line="360" w:lineRule="auto"/>
              <w:jc w:val="center"/>
              <w:rPr>
                <w:rFonts w:hint="eastAsia" w:ascii="仿宋" w:hAnsi="仿宋" w:eastAsia="仿宋" w:cs="仿宋"/>
                <w:snapToGrid w:val="0"/>
                <w:color w:val="000000"/>
                <w:sz w:val="28"/>
                <w:szCs w:val="28"/>
                <w:lang w:val="en-US" w:eastAsia="zh-CN" w:bidi="ar"/>
              </w:rPr>
            </w:pPr>
            <w:r>
              <w:rPr>
                <w:rFonts w:hint="eastAsia" w:ascii="仿宋" w:hAnsi="仿宋" w:eastAsia="仿宋" w:cs="仿宋"/>
                <w:sz w:val="28"/>
                <w:szCs w:val="28"/>
                <w:lang w:val="en-US" w:eastAsia="zh-CN" w:bidi="ar"/>
              </w:rPr>
              <w:t>理论考试</w:t>
            </w:r>
          </w:p>
        </w:tc>
        <w:tc>
          <w:tcPr>
            <w:tcW w:w="1669" w:type="pct"/>
            <w:tcBorders>
              <w:bottom w:val="single" w:color="auto" w:sz="2" w:space="0"/>
            </w:tcBorders>
            <w:vAlign w:val="center"/>
          </w:tcPr>
          <w:p>
            <w:pPr>
              <w:spacing w:line="360" w:lineRule="auto"/>
              <w:rPr>
                <w:rFonts w:hint="eastAsia" w:ascii="仿宋" w:hAnsi="仿宋" w:eastAsia="仿宋" w:cs="仿宋"/>
                <w:snapToGrid w:val="0"/>
                <w:color w:val="000000"/>
                <w:sz w:val="28"/>
                <w:szCs w:val="28"/>
                <w:lang w:val="en-US" w:eastAsia="zh-CN" w:bidi="ar"/>
              </w:rPr>
            </w:pPr>
            <w:r>
              <w:rPr>
                <w:rFonts w:hint="eastAsia" w:ascii="仿宋" w:hAnsi="仿宋" w:eastAsia="仿宋" w:cs="仿宋"/>
                <w:sz w:val="28"/>
                <w:szCs w:val="28"/>
                <w:lang w:val="en-US" w:eastAsia="zh-CN" w:bidi="ar"/>
              </w:rPr>
              <w:t>智能网联汽车理论知识</w:t>
            </w:r>
          </w:p>
        </w:tc>
        <w:tc>
          <w:tcPr>
            <w:tcW w:w="1300" w:type="pct"/>
            <w:tcBorders>
              <w:bottom w:val="single" w:color="auto" w:sz="2" w:space="0"/>
            </w:tcBorders>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6" w:type="pct"/>
            <w:vMerge w:val="continue"/>
            <w:vAlign w:val="center"/>
          </w:tcPr>
          <w:p>
            <w:pPr>
              <w:spacing w:line="360" w:lineRule="auto"/>
              <w:rPr>
                <w:rFonts w:hint="eastAsia" w:ascii="仿宋" w:hAnsi="仿宋" w:eastAsia="仿宋" w:cs="仿宋"/>
                <w:sz w:val="28"/>
                <w:szCs w:val="28"/>
                <w:lang w:eastAsia="zh-CN"/>
              </w:rPr>
            </w:pPr>
          </w:p>
        </w:tc>
        <w:tc>
          <w:tcPr>
            <w:tcW w:w="833" w:type="pct"/>
            <w:vAlign w:val="center"/>
          </w:tcPr>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模块A</w:t>
            </w: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实车装调与故障排除</w:t>
            </w:r>
          </w:p>
        </w:tc>
        <w:tc>
          <w:tcPr>
            <w:tcW w:w="1669" w:type="pct"/>
            <w:tcBorders>
              <w:bottom w:val="single" w:color="auto" w:sz="2" w:space="0"/>
            </w:tcBorders>
            <w:vAlign w:val="center"/>
          </w:tcPr>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1.根据任务要求，进行智能化零件的安装，包括雷达、摄像头、组合导航、自动驾驶处理器、毫米波雷达等。</w:t>
            </w: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2.根据任务要求，对所装配的智能化零部件进行调试和故障排查，包括关键智能化感知故障排除、线控车辆故障排除、线束连接故障检修等内容。</w:t>
            </w:r>
          </w:p>
        </w:tc>
        <w:tc>
          <w:tcPr>
            <w:tcW w:w="1300" w:type="pct"/>
            <w:tcBorders>
              <w:bottom w:val="single" w:color="auto" w:sz="2" w:space="0"/>
            </w:tcBorders>
            <w:vAlign w:val="center"/>
          </w:tcPr>
          <w:p>
            <w:pPr>
              <w:spacing w:line="360" w:lineRule="auto"/>
              <w:jc w:val="center"/>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6" w:type="pct"/>
            <w:vMerge w:val="continue"/>
            <w:vAlign w:val="center"/>
          </w:tcPr>
          <w:p>
            <w:pPr>
              <w:spacing w:line="360" w:lineRule="auto"/>
              <w:rPr>
                <w:rFonts w:hint="eastAsia" w:ascii="仿宋" w:hAnsi="仿宋" w:eastAsia="仿宋" w:cs="仿宋"/>
                <w:sz w:val="28"/>
                <w:szCs w:val="28"/>
                <w:lang w:eastAsia="zh-CN"/>
              </w:rPr>
            </w:pPr>
          </w:p>
        </w:tc>
        <w:tc>
          <w:tcPr>
            <w:tcW w:w="833" w:type="pct"/>
            <w:vAlign w:val="center"/>
          </w:tcPr>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模块B</w:t>
            </w:r>
          </w:p>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仿真平台测试</w:t>
            </w:r>
          </w:p>
        </w:tc>
        <w:tc>
          <w:tcPr>
            <w:tcW w:w="1669" w:type="pct"/>
            <w:tcBorders>
              <w:top w:val="single" w:color="auto" w:sz="2" w:space="0"/>
            </w:tcBorders>
            <w:vAlign w:val="center"/>
          </w:tcPr>
          <w:p>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在充分理解车路协同技术车辆各传感器、控制器、执行器工作原理的基础上，根据车路协同测试中出现的故障场景，在仿真平台完成故障分析、判断，并进行故障排除操作，完成虚拟仿真场景测试。</w:t>
            </w:r>
          </w:p>
        </w:tc>
        <w:tc>
          <w:tcPr>
            <w:tcW w:w="1300" w:type="pct"/>
            <w:tcBorders>
              <w:top w:val="single" w:color="auto" w:sz="2" w:space="0"/>
            </w:tcBorders>
            <w:vAlign w:val="center"/>
          </w:tcPr>
          <w:p>
            <w:pPr>
              <w:spacing w:line="360" w:lineRule="auto"/>
              <w:jc w:val="center"/>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40</w:t>
            </w:r>
          </w:p>
        </w:tc>
      </w:tr>
    </w:tbl>
    <w:p>
      <w:pPr>
        <w:spacing w:line="360" w:lineRule="auto"/>
        <w:rPr>
          <w:rFonts w:hint="eastAsia" w:ascii="仿宋" w:hAnsi="仿宋" w:eastAsia="仿宋" w:cs="仿宋"/>
          <w:sz w:val="28"/>
          <w:szCs w:val="28"/>
          <w:lang w:eastAsia="zh-CN"/>
        </w:rPr>
        <w:sectPr>
          <w:footerReference r:id="rId4" w:type="default"/>
          <w:pgSz w:w="11905" w:h="16834"/>
          <w:pgMar w:top="1430" w:right="993" w:bottom="0" w:left="1785" w:header="0" w:footer="283" w:gutter="0"/>
          <w:cols w:space="720" w:num="1"/>
          <w:docGrid w:linePitch="286" w:charSpace="0"/>
        </w:sectPr>
      </w:pPr>
    </w:p>
    <w:p>
      <w:pPr>
        <w:pStyle w:val="3"/>
        <w:keepNext/>
        <w:keepLines/>
        <w:pageBreakBefore w:val="0"/>
        <w:widowControl/>
        <w:kinsoku w:val="0"/>
        <w:wordWrap/>
        <w:overflowPunct/>
        <w:topLinePunct w:val="0"/>
        <w:autoSpaceDE w:val="0"/>
        <w:autoSpaceDN w:val="0"/>
        <w:bidi w:val="0"/>
        <w:adjustRightInd w:val="0"/>
        <w:snapToGrid w:val="0"/>
        <w:spacing w:before="287" w:beforeLines="100" w:after="287" w:afterLines="100" w:line="360" w:lineRule="auto"/>
        <w:textAlignment w:val="baseline"/>
        <w:rPr>
          <w:rFonts w:hint="eastAsia" w:ascii="仿宋" w:hAnsi="仿宋" w:eastAsia="仿宋" w:cs="仿宋"/>
          <w:b/>
          <w:bCs/>
          <w:sz w:val="32"/>
          <w:szCs w:val="32"/>
          <w:lang w:eastAsia="zh-CN"/>
        </w:rPr>
      </w:pPr>
      <w:bookmarkStart w:id="13" w:name="_Toc20249"/>
      <w:r>
        <w:rPr>
          <w:rFonts w:hint="eastAsia" w:ascii="仿宋" w:hAnsi="仿宋" w:eastAsia="仿宋" w:cs="仿宋"/>
          <w:b/>
          <w:bCs/>
          <w:sz w:val="32"/>
          <w:szCs w:val="32"/>
          <w:lang w:eastAsia="zh-CN"/>
        </w:rPr>
        <w:t>三、竞赛细则</w:t>
      </w:r>
      <w:bookmarkEnd w:id="13"/>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1.竞赛现场提供竞赛设备、计算机及相关软件、相关技术资料、工具、仪器等，选手不得自带任何纸质资料和存储工具，如出现严重的违规、违纪、舞弊等现象，经裁判组裁定取消竞赛成绩。</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2.参赛选手必须及时备份和保存自己的竞赛数据，防止意外断电及其它情况造成程序或资料的丢失。不按要求存储数据，导致数据丢失者，责任自负。</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3.参赛队的竞赛场次和工位号采取抽签的方式确定，竞赛场次签在赛前领队会上抽取，工位签在赛前检录时抽取。</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4.参赛队按照参赛场次进入竞赛场地，利用现场提供的所有条件，在规定时间内完成竞赛任务。</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5.每个组别同场竞赛使用相同赛题，不同场次使用不同赛题。</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6.操作技能竞赛，参赛选手在赛前10分钟（以竞赛日程为准），凭参赛证和身份证进入赛场检录。检录工作由检录裁判负责，检录后进行工位抽签。</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7.工位抽签工作由加密裁判负责，选手工位抽签后，选手参赛证更换成参赛工位号，选手在竞赛工位抽签记录表上签字确认后，凭参赛工位号统一进入竞赛工位准备竞赛。竞赛场次和竞赛工位号抽签确定后，选手不准随意调换。</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8.工位抽签后，由裁判长进行安全教育，确认现场条件，赛前10分钟领取赛题，裁判长宣布竞赛开始后才可开始操作。</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9.竞赛过程中，选手若需休息、饮水或去洗手间，一律计算在竞赛时间内。</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10.竞赛过程中，参赛选手须严格遵守相关安全操作规程，禁止不安全操作和野蛮操作,确保人身及设备安全，并接受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大赛裁判组视具体情况做出延时处理并由裁判长上报大赛监督仲裁组。</w:t>
      </w:r>
    </w:p>
    <w:p>
      <w:pPr>
        <w:spacing w:line="360" w:lineRule="auto"/>
        <w:ind w:firstLine="560" w:firstLineChars="200"/>
        <w:rPr>
          <w:rFonts w:hint="eastAsia" w:ascii="仿宋" w:hAnsi="仿宋" w:eastAsia="仿宋" w:cs="仿宋"/>
          <w:sz w:val="28"/>
          <w:szCs w:val="28"/>
          <w:lang w:eastAsia="zh-CN" w:bidi="ar"/>
        </w:rPr>
      </w:pPr>
      <w:bookmarkStart w:id="14" w:name="_Hlk148115456"/>
      <w:r>
        <w:rPr>
          <w:rFonts w:hint="eastAsia" w:ascii="仿宋" w:hAnsi="仿宋" w:eastAsia="仿宋" w:cs="仿宋"/>
          <w:sz w:val="28"/>
          <w:szCs w:val="28"/>
          <w:lang w:eastAsia="zh-CN" w:bidi="ar"/>
        </w:rPr>
        <w:t>11.选手在竞赛期间不得携带、使用手机、照相机、录像机等通信设备，不得携带非大赛提供的电子存储设备、资料。</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12.参赛选手不得损坏竞赛设备和影响下一场竞赛的行为。</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13.参赛选手如果违反前述相关规定和组委会印发的竞赛技术规则，视违规程度，受到“总分扣除10-20分、取消竞赛资格”等不同处罚。</w:t>
      </w:r>
      <w:bookmarkEnd w:id="14"/>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bidi="ar"/>
        </w:rPr>
        <w:t>14.比赛期间，选手有问题应及时向裁判员反映；选手正常比赛时，裁判员不得主动接近或干涉选手；若选手需要技术支持，裁判员应及时通知相关人员前来解决；若需作出判决，则应报告裁判长，由裁判长决定。</w:t>
      </w:r>
    </w:p>
    <w:p>
      <w:pPr>
        <w:pStyle w:val="3"/>
        <w:keepNext/>
        <w:keepLines/>
        <w:pageBreakBefore w:val="0"/>
        <w:widowControl/>
        <w:kinsoku w:val="0"/>
        <w:wordWrap/>
        <w:overflowPunct/>
        <w:topLinePunct w:val="0"/>
        <w:autoSpaceDE w:val="0"/>
        <w:autoSpaceDN w:val="0"/>
        <w:bidi w:val="0"/>
        <w:adjustRightInd w:val="0"/>
        <w:snapToGrid w:val="0"/>
        <w:spacing w:before="287" w:beforeLines="100" w:after="287" w:afterLines="100" w:line="360" w:lineRule="auto"/>
        <w:textAlignment w:val="baseline"/>
        <w:rPr>
          <w:rFonts w:hint="eastAsia" w:ascii="仿宋" w:hAnsi="仿宋" w:eastAsia="仿宋" w:cs="仿宋"/>
          <w:b/>
          <w:bCs/>
          <w:sz w:val="32"/>
          <w:szCs w:val="32"/>
          <w:lang w:eastAsia="zh-CN"/>
        </w:rPr>
      </w:pPr>
      <w:bookmarkStart w:id="15" w:name="_Toc14993"/>
      <w:r>
        <w:rPr>
          <w:rFonts w:hint="eastAsia" w:ascii="仿宋" w:hAnsi="仿宋" w:eastAsia="仿宋" w:cs="仿宋"/>
          <w:b/>
          <w:bCs/>
          <w:sz w:val="32"/>
          <w:szCs w:val="32"/>
          <w:lang w:eastAsia="zh-CN"/>
        </w:rPr>
        <w:t>四、竞赛场地、设施设备等安排</w:t>
      </w:r>
      <w:bookmarkEnd w:id="15"/>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16" w:name="_Toc26464"/>
      <w:r>
        <w:rPr>
          <w:rFonts w:hint="eastAsia" w:ascii="仿宋" w:hAnsi="仿宋" w:eastAsia="仿宋" w:cs="仿宋"/>
          <w:sz w:val="28"/>
          <w:szCs w:val="28"/>
          <w:lang w:eastAsia="zh-CN"/>
        </w:rPr>
        <w:t>（一）赛场规格要求</w:t>
      </w:r>
      <w:bookmarkEnd w:id="16"/>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实际操作工位</w:t>
      </w:r>
      <w:r>
        <w:rPr>
          <w:rFonts w:hint="eastAsia" w:ascii="仿宋" w:hAnsi="仿宋" w:eastAsia="仿宋" w:cs="仿宋"/>
          <w:sz w:val="28"/>
          <w:szCs w:val="28"/>
          <w:lang w:val="en-US" w:eastAsia="zh-CN" w:bidi="ar"/>
        </w:rPr>
        <w:t>示意</w:t>
      </w:r>
      <w:r>
        <w:rPr>
          <w:rFonts w:hint="eastAsia" w:ascii="仿宋" w:hAnsi="仿宋" w:eastAsia="仿宋" w:cs="仿宋"/>
          <w:sz w:val="28"/>
          <w:szCs w:val="28"/>
          <w:lang w:eastAsia="zh-CN" w:bidi="ar"/>
        </w:rPr>
        <w:t>图（如图1），比赛时会根据现场</w:t>
      </w:r>
      <w:r>
        <w:rPr>
          <w:rFonts w:hint="eastAsia" w:ascii="仿宋" w:hAnsi="仿宋" w:eastAsia="仿宋" w:cs="仿宋"/>
          <w:sz w:val="28"/>
          <w:szCs w:val="28"/>
          <w:lang w:val="en-US" w:eastAsia="zh-CN" w:bidi="ar"/>
        </w:rPr>
        <w:t>情况确定</w:t>
      </w:r>
      <w:r>
        <w:rPr>
          <w:rFonts w:hint="eastAsia" w:ascii="仿宋" w:hAnsi="仿宋" w:eastAsia="仿宋" w:cs="仿宋"/>
          <w:sz w:val="28"/>
          <w:szCs w:val="28"/>
          <w:lang w:eastAsia="zh-CN" w:bidi="ar"/>
        </w:rPr>
        <w:t>，</w:t>
      </w:r>
      <w:r>
        <w:rPr>
          <w:rFonts w:hint="eastAsia" w:ascii="仿宋" w:hAnsi="仿宋" w:eastAsia="仿宋" w:cs="仿宋"/>
          <w:sz w:val="28"/>
          <w:szCs w:val="28"/>
          <w:lang w:val="en-US" w:eastAsia="zh-CN" w:bidi="ar"/>
        </w:rPr>
        <w:t>请</w:t>
      </w:r>
      <w:r>
        <w:rPr>
          <w:rFonts w:hint="eastAsia" w:ascii="仿宋" w:hAnsi="仿宋" w:eastAsia="仿宋" w:cs="仿宋"/>
          <w:sz w:val="28"/>
          <w:szCs w:val="28"/>
          <w:lang w:eastAsia="zh-CN" w:bidi="ar"/>
        </w:rPr>
        <w:t>以实际比赛工位为准。</w:t>
      </w:r>
    </w:p>
    <w:p>
      <w:pPr>
        <w:spacing w:before="1" w:line="360" w:lineRule="auto"/>
        <w:ind w:left="72"/>
        <w:rPr>
          <w:rFonts w:hint="eastAsia" w:ascii="仿宋" w:hAnsi="仿宋" w:eastAsia="仿宋" w:cs="仿宋"/>
          <w:sz w:val="28"/>
          <w:szCs w:val="28"/>
          <w:lang w:eastAsia="zh-CN"/>
        </w:rPr>
      </w:pPr>
    </w:p>
    <w:p>
      <w:pPr>
        <w:rPr>
          <w:rFonts w:hint="eastAsia" w:ascii="仿宋" w:hAnsi="仿宋" w:eastAsia="仿宋" w:cs="仿宋"/>
          <w:sz w:val="28"/>
          <w:szCs w:val="28"/>
          <w:lang w:eastAsia="zh-CN"/>
        </w:rPr>
      </w:pPr>
      <w:bookmarkStart w:id="17" w:name="_Toc16126"/>
      <w:r>
        <w:rPr>
          <w:rFonts w:hint="eastAsia" w:ascii="仿宋" w:hAnsi="仿宋" w:eastAsia="仿宋" w:cs="仿宋"/>
          <w:sz w:val="28"/>
          <w:szCs w:val="28"/>
          <w:lang w:eastAsia="zh-CN"/>
        </w:rPr>
        <w:br w:type="page"/>
      </w:r>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r>
        <w:rPr>
          <w:rFonts w:hint="eastAsia" w:ascii="仿宋" w:hAnsi="仿宋" w:eastAsia="仿宋" w:cs="仿宋"/>
          <w:sz w:val="28"/>
          <w:szCs w:val="28"/>
          <w:lang w:eastAsia="zh-CN"/>
        </w:rPr>
        <w:t>（二）场地布局图</w:t>
      </w:r>
      <w:bookmarkEnd w:id="17"/>
    </w:p>
    <w:p>
      <w:pPr>
        <w:spacing w:before="188" w:line="360" w:lineRule="auto"/>
        <w:ind w:left="687"/>
        <w:jc w:val="center"/>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 xml:space="preserve">图 1 </w:t>
      </w:r>
    </w:p>
    <w:p>
      <w:pPr>
        <w:spacing w:line="360" w:lineRule="auto"/>
        <w:rPr>
          <w:rFonts w:hint="eastAsia" w:ascii="仿宋" w:hAnsi="仿宋" w:eastAsia="仿宋" w:cs="仿宋"/>
          <w:sz w:val="28"/>
          <w:szCs w:val="28"/>
        </w:rPr>
        <w:sectPr>
          <w:pgSz w:w="11905" w:h="16834"/>
          <w:pgMar w:top="1430" w:right="1785" w:bottom="0" w:left="1785" w:header="0" w:footer="283" w:gutter="0"/>
          <w:cols w:space="720" w:num="1"/>
          <w:docGrid w:linePitch="286" w:charSpace="0"/>
        </w:sectPr>
      </w:pPr>
      <w:r>
        <w:rPr>
          <w:rFonts w:hint="eastAsia" w:ascii="仿宋" w:hAnsi="仿宋" w:eastAsia="仿宋" w:cs="仿宋"/>
          <w:sz w:val="28"/>
          <w:szCs w:val="28"/>
        </w:rPr>
        <w:drawing>
          <wp:inline distT="0" distB="0" distL="0" distR="0">
            <wp:extent cx="5207635" cy="3629025"/>
            <wp:effectExtent l="0" t="0" r="0" b="0"/>
            <wp:docPr id="1350018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018011" name="图片 1"/>
                    <pic:cNvPicPr>
                      <a:picLocks noChangeAspect="1"/>
                    </pic:cNvPicPr>
                  </pic:nvPicPr>
                  <pic:blipFill>
                    <a:blip r:embed="rId6"/>
                    <a:srcRect l="1309" t="2963" r="268"/>
                    <a:stretch>
                      <a:fillRect/>
                    </a:stretch>
                  </pic:blipFill>
                  <pic:spPr>
                    <a:xfrm>
                      <a:off x="0" y="0"/>
                      <a:ext cx="5209292" cy="3629940"/>
                    </a:xfrm>
                    <a:prstGeom prst="rect">
                      <a:avLst/>
                    </a:prstGeom>
                    <a:ln>
                      <a:noFill/>
                    </a:ln>
                  </pic:spPr>
                </pic:pic>
              </a:graphicData>
            </a:graphic>
          </wp:inline>
        </w:drawing>
      </w:r>
    </w:p>
    <w:p>
      <w:pPr>
        <w:pStyle w:val="4"/>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仿宋" w:hAnsi="仿宋" w:eastAsia="仿宋" w:cs="仿宋"/>
          <w:sz w:val="28"/>
          <w:szCs w:val="28"/>
          <w:lang w:eastAsia="zh-CN"/>
        </w:rPr>
      </w:pPr>
      <w:bookmarkStart w:id="18" w:name="_Toc23283"/>
      <w:r>
        <w:rPr>
          <w:rFonts w:hint="eastAsia" w:ascii="仿宋" w:hAnsi="仿宋" w:eastAsia="仿宋" w:cs="仿宋"/>
          <w:sz w:val="28"/>
          <w:szCs w:val="28"/>
          <w:lang w:eastAsia="zh-CN"/>
        </w:rPr>
        <w:t>（三）基础设施清单</w:t>
      </w:r>
      <w:bookmarkEnd w:id="18"/>
    </w:p>
    <w:p>
      <w:pPr>
        <w:spacing w:line="360" w:lineRule="auto"/>
        <w:ind w:firstLine="560" w:firstLineChars="200"/>
        <w:rPr>
          <w:rFonts w:hint="eastAsia" w:ascii="仿宋" w:hAnsi="仿宋" w:eastAsia="仿宋" w:cs="仿宋"/>
          <w:sz w:val="28"/>
          <w:szCs w:val="28"/>
          <w:lang w:eastAsia="zh-CN" w:bidi="ar"/>
        </w:rPr>
      </w:pPr>
      <w:bookmarkStart w:id="19" w:name="_Hlk148207729"/>
      <w:r>
        <w:rPr>
          <w:rFonts w:hint="eastAsia" w:ascii="仿宋" w:hAnsi="仿宋" w:eastAsia="仿宋" w:cs="仿宋"/>
          <w:sz w:val="28"/>
          <w:szCs w:val="28"/>
          <w:lang w:eastAsia="zh-CN" w:bidi="ar"/>
        </w:rPr>
        <w:t>1.每个工位主要配置清单见表 1，但不限于表 1，保证竞赛过程不因缺少安装工具、测试工具和耗材等，影响竞赛正常进行。</w:t>
      </w:r>
    </w:p>
    <w:bookmarkEnd w:id="19"/>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表 1 技术平台主要配置清单</w:t>
      </w:r>
    </w:p>
    <w:tbl>
      <w:tblPr>
        <w:tblStyle w:val="13"/>
        <w:tblpPr w:leftFromText="180" w:rightFromText="180" w:vertAnchor="text" w:horzAnchor="page" w:tblpX="1695" w:tblpY="406"/>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6"/>
        <w:gridCol w:w="3040"/>
        <w:gridCol w:w="950"/>
        <w:gridCol w:w="980"/>
        <w:gridCol w:w="2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976" w:type="dxa"/>
            <w:vAlign w:val="center"/>
          </w:tcPr>
          <w:p>
            <w:pPr>
              <w:spacing w:line="360" w:lineRule="auto"/>
              <w:jc w:val="center"/>
              <w:rPr>
                <w:rFonts w:hint="eastAsia" w:ascii="仿宋" w:hAnsi="仿宋" w:eastAsia="仿宋" w:cs="仿宋"/>
                <w:b/>
                <w:bCs/>
                <w:spacing w:val="3"/>
                <w:sz w:val="28"/>
                <w:szCs w:val="28"/>
                <w:lang w:eastAsia="zh-CN"/>
              </w:rPr>
            </w:pPr>
            <w:r>
              <w:rPr>
                <w:rFonts w:hint="eastAsia" w:ascii="仿宋" w:hAnsi="仿宋" w:eastAsia="仿宋" w:cs="仿宋"/>
                <w:b/>
                <w:bCs/>
                <w:spacing w:val="3"/>
                <w:sz w:val="28"/>
                <w:szCs w:val="28"/>
                <w:lang w:eastAsia="zh-CN"/>
              </w:rPr>
              <w:t>序号</w:t>
            </w:r>
          </w:p>
        </w:tc>
        <w:tc>
          <w:tcPr>
            <w:tcW w:w="3040" w:type="dxa"/>
            <w:vAlign w:val="center"/>
          </w:tcPr>
          <w:p>
            <w:pPr>
              <w:spacing w:line="360" w:lineRule="auto"/>
              <w:jc w:val="center"/>
              <w:rPr>
                <w:rFonts w:hint="eastAsia" w:ascii="仿宋" w:hAnsi="仿宋" w:eastAsia="仿宋" w:cs="仿宋"/>
                <w:b/>
                <w:bCs/>
                <w:spacing w:val="3"/>
                <w:sz w:val="28"/>
                <w:szCs w:val="28"/>
                <w:lang w:eastAsia="zh-CN"/>
              </w:rPr>
            </w:pPr>
            <w:r>
              <w:rPr>
                <w:rFonts w:hint="eastAsia" w:ascii="仿宋" w:hAnsi="仿宋" w:eastAsia="仿宋" w:cs="仿宋"/>
                <w:b/>
                <w:bCs/>
                <w:spacing w:val="3"/>
                <w:sz w:val="28"/>
                <w:szCs w:val="28"/>
                <w:lang w:eastAsia="zh-CN"/>
              </w:rPr>
              <w:t>设备名称</w:t>
            </w:r>
          </w:p>
        </w:tc>
        <w:tc>
          <w:tcPr>
            <w:tcW w:w="950" w:type="dxa"/>
            <w:vAlign w:val="center"/>
          </w:tcPr>
          <w:p>
            <w:pPr>
              <w:spacing w:line="360" w:lineRule="auto"/>
              <w:jc w:val="center"/>
              <w:rPr>
                <w:rFonts w:hint="eastAsia" w:ascii="仿宋" w:hAnsi="仿宋" w:eastAsia="仿宋" w:cs="仿宋"/>
                <w:b/>
                <w:bCs/>
                <w:spacing w:val="3"/>
                <w:sz w:val="28"/>
                <w:szCs w:val="28"/>
                <w:lang w:eastAsia="zh-CN"/>
              </w:rPr>
            </w:pPr>
            <w:r>
              <w:rPr>
                <w:rFonts w:hint="eastAsia" w:ascii="仿宋" w:hAnsi="仿宋" w:eastAsia="仿宋" w:cs="仿宋"/>
                <w:b/>
                <w:bCs/>
                <w:spacing w:val="3"/>
                <w:sz w:val="28"/>
                <w:szCs w:val="28"/>
                <w:lang w:eastAsia="zh-CN"/>
              </w:rPr>
              <w:t>数量</w:t>
            </w:r>
          </w:p>
        </w:tc>
        <w:tc>
          <w:tcPr>
            <w:tcW w:w="980" w:type="dxa"/>
            <w:vAlign w:val="center"/>
          </w:tcPr>
          <w:p>
            <w:pPr>
              <w:spacing w:line="360" w:lineRule="auto"/>
              <w:jc w:val="center"/>
              <w:rPr>
                <w:rFonts w:hint="eastAsia" w:ascii="仿宋" w:hAnsi="仿宋" w:eastAsia="仿宋" w:cs="仿宋"/>
                <w:b/>
                <w:bCs/>
                <w:spacing w:val="3"/>
                <w:sz w:val="28"/>
                <w:szCs w:val="28"/>
                <w:lang w:eastAsia="zh-CN"/>
              </w:rPr>
            </w:pPr>
            <w:r>
              <w:rPr>
                <w:rFonts w:hint="eastAsia" w:ascii="仿宋" w:hAnsi="仿宋" w:eastAsia="仿宋" w:cs="仿宋"/>
                <w:b/>
                <w:bCs/>
                <w:spacing w:val="3"/>
                <w:sz w:val="28"/>
                <w:szCs w:val="28"/>
                <w:lang w:eastAsia="zh-CN"/>
              </w:rPr>
              <w:t>单位</w:t>
            </w:r>
          </w:p>
        </w:tc>
        <w:tc>
          <w:tcPr>
            <w:tcW w:w="2579" w:type="dxa"/>
            <w:vAlign w:val="center"/>
          </w:tcPr>
          <w:p>
            <w:pPr>
              <w:spacing w:line="360" w:lineRule="auto"/>
              <w:jc w:val="center"/>
              <w:rPr>
                <w:rFonts w:hint="eastAsia" w:ascii="仿宋" w:hAnsi="仿宋" w:eastAsia="仿宋" w:cs="仿宋"/>
                <w:b/>
                <w:bCs/>
                <w:spacing w:val="3"/>
                <w:sz w:val="28"/>
                <w:szCs w:val="28"/>
                <w:lang w:eastAsia="zh-CN"/>
              </w:rPr>
            </w:pPr>
            <w:r>
              <w:rPr>
                <w:rFonts w:hint="eastAsia" w:ascii="仿宋" w:hAnsi="仿宋" w:eastAsia="仿宋" w:cs="仿宋"/>
                <w:b/>
                <w:bCs/>
                <w:spacing w:val="3"/>
                <w:sz w:val="28"/>
                <w:szCs w:val="28"/>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线控车辆</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传感器装调台架</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3</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激光雷达</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4</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毫米波雷达</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5</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超声波雷达</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套</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6</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双目相机</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7</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GPS/惯导</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8</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工业显示屏</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9</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4G 路由器</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10</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CAN 收发器</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11</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自动驾驶控制器</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12</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工位电脑</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13</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千斤顶</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p>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14</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工具箱（常用安装和测量工具）</w:t>
            </w:r>
          </w:p>
        </w:tc>
        <w:tc>
          <w:tcPr>
            <w:tcW w:w="950" w:type="dxa"/>
            <w:vAlign w:val="center"/>
          </w:tcPr>
          <w:p>
            <w:pPr>
              <w:spacing w:line="360" w:lineRule="auto"/>
              <w:jc w:val="center"/>
              <w:rPr>
                <w:rFonts w:hint="eastAsia" w:ascii="仿宋" w:hAnsi="仿宋" w:eastAsia="仿宋" w:cs="仿宋"/>
                <w:spacing w:val="3"/>
                <w:sz w:val="28"/>
                <w:szCs w:val="28"/>
                <w:lang w:eastAsia="zh-CN"/>
              </w:rPr>
            </w:pPr>
          </w:p>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p>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15</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安全帽</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套</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p>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16</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智能网联汽车虚拟仿真测试软件</w:t>
            </w:r>
          </w:p>
        </w:tc>
        <w:tc>
          <w:tcPr>
            <w:tcW w:w="950" w:type="dxa"/>
            <w:vAlign w:val="center"/>
          </w:tcPr>
          <w:p>
            <w:pPr>
              <w:spacing w:line="360" w:lineRule="auto"/>
              <w:jc w:val="center"/>
              <w:rPr>
                <w:rFonts w:hint="eastAsia" w:ascii="仿宋" w:hAnsi="仿宋" w:eastAsia="仿宋" w:cs="仿宋"/>
                <w:spacing w:val="3"/>
                <w:sz w:val="28"/>
                <w:szCs w:val="28"/>
                <w:lang w:eastAsia="zh-CN"/>
              </w:rPr>
            </w:pPr>
          </w:p>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p>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套</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76"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17</w:t>
            </w:r>
          </w:p>
        </w:tc>
        <w:tc>
          <w:tcPr>
            <w:tcW w:w="304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道路测试设施</w:t>
            </w:r>
          </w:p>
        </w:tc>
        <w:tc>
          <w:tcPr>
            <w:tcW w:w="95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980"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套</w:t>
            </w:r>
          </w:p>
        </w:tc>
        <w:tc>
          <w:tcPr>
            <w:tcW w:w="2579" w:type="dxa"/>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参考具体技术参数</w:t>
            </w:r>
          </w:p>
        </w:tc>
      </w:tr>
    </w:tbl>
    <w:p>
      <w:pPr>
        <w:pStyle w:val="2"/>
        <w:spacing w:line="360" w:lineRule="auto"/>
        <w:rPr>
          <w:rFonts w:hint="eastAsia" w:ascii="仿宋" w:hAnsi="仿宋" w:eastAsia="仿宋" w:cs="仿宋"/>
          <w:kern w:val="2"/>
          <w:sz w:val="28"/>
          <w:szCs w:val="28"/>
          <w:lang w:eastAsia="zh-CN"/>
        </w:rPr>
      </w:pP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2.每个工位赛场提供的基础设备清单主要配置清单见表2，但不限于表2，保证竞赛过程不因缺少安装工具、测试工具和耗材等，影响竞赛正常进行。</w:t>
      </w:r>
    </w:p>
    <w:p>
      <w:pPr>
        <w:pStyle w:val="2"/>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表 2 赛场基础设备</w:t>
      </w:r>
    </w:p>
    <w:tbl>
      <w:tblPr>
        <w:tblStyle w:val="13"/>
        <w:tblW w:w="5000" w:type="pct"/>
        <w:tblInd w:w="0" w:type="dxa"/>
        <w:tblLayout w:type="fixed"/>
        <w:tblCellMar>
          <w:top w:w="0" w:type="dxa"/>
          <w:left w:w="108" w:type="dxa"/>
          <w:bottom w:w="0" w:type="dxa"/>
          <w:right w:w="108" w:type="dxa"/>
        </w:tblCellMar>
      </w:tblPr>
      <w:tblGrid>
        <w:gridCol w:w="1118"/>
        <w:gridCol w:w="1381"/>
        <w:gridCol w:w="929"/>
        <w:gridCol w:w="1185"/>
        <w:gridCol w:w="2733"/>
        <w:gridCol w:w="557"/>
        <w:gridCol w:w="753"/>
      </w:tblGrid>
      <w:tr>
        <w:tblPrEx>
          <w:tblCellMar>
            <w:top w:w="0" w:type="dxa"/>
            <w:left w:w="108" w:type="dxa"/>
            <w:bottom w:w="0" w:type="dxa"/>
            <w:right w:w="108" w:type="dxa"/>
          </w:tblCellMar>
        </w:tblPrEx>
        <w:trPr>
          <w:trHeight w:val="408" w:hRule="atLeast"/>
        </w:trPr>
        <w:tc>
          <w:tcPr>
            <w:tcW w:w="5000" w:type="pct"/>
            <w:gridSpan w:val="7"/>
            <w:tcBorders>
              <w:top w:val="single" w:color="auto" w:sz="4" w:space="0"/>
              <w:left w:val="single" w:color="auto" w:sz="4" w:space="0"/>
              <w:bottom w:val="single" w:color="auto" w:sz="4" w:space="0"/>
              <w:right w:val="single" w:color="auto" w:sz="4" w:space="0"/>
            </w:tcBorders>
            <w:noWrap/>
            <w:vAlign w:val="bottom"/>
          </w:tcPr>
          <w:p>
            <w:pPr>
              <w:spacing w:line="360" w:lineRule="auto"/>
              <w:jc w:val="center"/>
              <w:textAlignment w:val="bottom"/>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工位配置明细（每工位双人赛）</w:t>
            </w:r>
          </w:p>
        </w:tc>
      </w:tr>
      <w:tr>
        <w:tblPrEx>
          <w:tblCellMar>
            <w:top w:w="0" w:type="dxa"/>
            <w:left w:w="108" w:type="dxa"/>
            <w:bottom w:w="0" w:type="dxa"/>
            <w:right w:w="108" w:type="dxa"/>
          </w:tblCellMar>
        </w:tblPrEx>
        <w:trPr>
          <w:trHeight w:val="1233" w:hRule="atLeast"/>
        </w:trPr>
        <w:tc>
          <w:tcPr>
            <w:tcW w:w="645"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序号</w:t>
            </w:r>
          </w:p>
        </w:tc>
        <w:tc>
          <w:tcPr>
            <w:tcW w:w="797"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名称</w:t>
            </w:r>
          </w:p>
        </w:tc>
        <w:tc>
          <w:tcPr>
            <w:tcW w:w="536"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数量</w:t>
            </w:r>
          </w:p>
        </w:tc>
        <w:tc>
          <w:tcPr>
            <w:tcW w:w="684"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单位</w:t>
            </w:r>
          </w:p>
        </w:tc>
        <w:tc>
          <w:tcPr>
            <w:tcW w:w="1578"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用途</w:t>
            </w:r>
          </w:p>
        </w:tc>
        <w:tc>
          <w:tcPr>
            <w:tcW w:w="321"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备注</w:t>
            </w:r>
          </w:p>
        </w:tc>
        <w:tc>
          <w:tcPr>
            <w:tcW w:w="434" w:type="pct"/>
            <w:tcBorders>
              <w:top w:val="single" w:color="auto"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负责人</w:t>
            </w:r>
          </w:p>
        </w:tc>
      </w:tr>
      <w:tr>
        <w:tblPrEx>
          <w:tblCellMar>
            <w:top w:w="0" w:type="dxa"/>
            <w:left w:w="108" w:type="dxa"/>
            <w:bottom w:w="0" w:type="dxa"/>
            <w:right w:w="108" w:type="dxa"/>
          </w:tblCellMar>
        </w:tblPrEx>
        <w:trPr>
          <w:trHeight w:val="47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秒表</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裁判用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39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铅笔</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3</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选手1 裁判2</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41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3</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签字笔</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6</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选手2 裁判4</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41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4</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A4垫板</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3</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选手1 裁判2</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39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5</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橡皮</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块</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选手1 裁判1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6</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擦桌布</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块</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选手1 裁判1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7</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计算器</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裁判用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8</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桌子</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5</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张</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裁判1 选手1 工具1 安全防护用具1 零部件1</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lang w:eastAsia="zh-CN"/>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lang w:eastAsia="zh-CN"/>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9</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椅子</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4</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把</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选手2 裁判2</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10</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垃圾桶</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11</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扫把</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套</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12</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展示大屏</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台</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展示工位电脑</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13</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HDMI高清线</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条</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用于连接工位电脑</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14</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灭火器</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15</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手套</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副</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16</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护目镜</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17</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防静电手环</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z w:val="28"/>
                <w:szCs w:val="28"/>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18</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隔离带</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pacing w:val="3"/>
                <w:sz w:val="28"/>
                <w:szCs w:val="28"/>
                <w:lang w:eastAsia="zh-CN"/>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pacing w:val="3"/>
                <w:sz w:val="28"/>
                <w:szCs w:val="28"/>
                <w:lang w:eastAsia="zh-CN"/>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19</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监控摄像头</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工位对角用于采集比赛过程</w:t>
            </w:r>
          </w:p>
        </w:tc>
        <w:tc>
          <w:tcPr>
            <w:tcW w:w="321"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pacing w:val="3"/>
                <w:sz w:val="28"/>
                <w:szCs w:val="28"/>
                <w:lang w:eastAsia="zh-CN"/>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pPr>
              <w:spacing w:line="360" w:lineRule="auto"/>
              <w:jc w:val="center"/>
              <w:rPr>
                <w:rFonts w:hint="eastAsia" w:ascii="仿宋" w:hAnsi="仿宋" w:eastAsia="仿宋" w:cs="仿宋"/>
                <w:spacing w:val="3"/>
                <w:sz w:val="28"/>
                <w:szCs w:val="28"/>
                <w:lang w:eastAsia="zh-CN"/>
              </w:rPr>
            </w:pPr>
          </w:p>
        </w:tc>
      </w:tr>
      <w:tr>
        <w:tblPrEx>
          <w:tblCellMar>
            <w:top w:w="0" w:type="dxa"/>
            <w:left w:w="108" w:type="dxa"/>
            <w:bottom w:w="0" w:type="dxa"/>
            <w:right w:w="108" w:type="dxa"/>
          </w:tblCellMar>
        </w:tblPrEx>
        <w:trPr>
          <w:trHeight w:val="28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20</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220V三插三位电源</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个</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车辆1 电脑1 大屏1</w:t>
            </w:r>
          </w:p>
        </w:tc>
        <w:tc>
          <w:tcPr>
            <w:tcW w:w="32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p>
        </w:tc>
        <w:tc>
          <w:tcPr>
            <w:tcW w:w="43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p>
        </w:tc>
      </w:tr>
      <w:tr>
        <w:tblPrEx>
          <w:tblCellMar>
            <w:top w:w="0" w:type="dxa"/>
            <w:left w:w="108" w:type="dxa"/>
            <w:bottom w:w="0" w:type="dxa"/>
            <w:right w:w="108" w:type="dxa"/>
          </w:tblCellMar>
        </w:tblPrEx>
        <w:trPr>
          <w:trHeight w:val="358" w:hRule="atLeast"/>
        </w:trPr>
        <w:tc>
          <w:tcPr>
            <w:tcW w:w="645"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21</w:t>
            </w:r>
          </w:p>
        </w:tc>
        <w:tc>
          <w:tcPr>
            <w:tcW w:w="797"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湿巾</w:t>
            </w:r>
          </w:p>
        </w:tc>
        <w:tc>
          <w:tcPr>
            <w:tcW w:w="536"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w:t>
            </w:r>
          </w:p>
        </w:tc>
        <w:tc>
          <w:tcPr>
            <w:tcW w:w="68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包</w:t>
            </w:r>
          </w:p>
        </w:tc>
        <w:tc>
          <w:tcPr>
            <w:tcW w:w="1578"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必要时用于清洁</w:t>
            </w:r>
          </w:p>
        </w:tc>
        <w:tc>
          <w:tcPr>
            <w:tcW w:w="321"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p>
        </w:tc>
        <w:tc>
          <w:tcPr>
            <w:tcW w:w="434" w:type="pct"/>
            <w:tcBorders>
              <w:top w:val="single" w:color="000000" w:sz="4" w:space="0"/>
              <w:left w:val="single" w:color="000000" w:sz="4" w:space="0"/>
              <w:bottom w:val="single" w:color="000000" w:sz="4" w:space="0"/>
              <w:right w:val="single" w:color="000000" w:sz="4" w:space="0"/>
            </w:tcBorders>
            <w:noWrap/>
            <w:vAlign w:val="center"/>
          </w:tcPr>
          <w:p>
            <w:pPr>
              <w:spacing w:line="360" w:lineRule="auto"/>
              <w:jc w:val="center"/>
              <w:rPr>
                <w:rFonts w:hint="eastAsia" w:ascii="仿宋" w:hAnsi="仿宋" w:eastAsia="仿宋" w:cs="仿宋"/>
                <w:spacing w:val="3"/>
                <w:sz w:val="28"/>
                <w:szCs w:val="28"/>
                <w:lang w:eastAsia="zh-CN"/>
              </w:rPr>
            </w:pPr>
          </w:p>
        </w:tc>
      </w:tr>
    </w:tbl>
    <w:p>
      <w:pPr>
        <w:spacing w:line="360" w:lineRule="auto"/>
        <w:rPr>
          <w:rFonts w:hint="eastAsia" w:ascii="仿宋" w:hAnsi="仿宋" w:eastAsia="仿宋" w:cs="仿宋"/>
          <w:sz w:val="28"/>
          <w:szCs w:val="28"/>
          <w:lang w:eastAsia="zh-CN"/>
        </w:rPr>
      </w:pPr>
    </w:p>
    <w:p>
      <w:pPr>
        <w:spacing w:line="360" w:lineRule="auto"/>
        <w:ind w:firstLine="560" w:firstLineChars="200"/>
        <w:rPr>
          <w:rFonts w:hint="eastAsia" w:ascii="仿宋" w:hAnsi="仿宋" w:eastAsia="仿宋" w:cs="仿宋"/>
          <w:sz w:val="28"/>
          <w:szCs w:val="28"/>
          <w:lang w:eastAsia="zh-CN" w:bidi="ar"/>
        </w:rPr>
      </w:pPr>
      <w:bookmarkStart w:id="20" w:name="_Toc6683"/>
      <w:bookmarkStart w:id="21" w:name="_Toc57900072"/>
      <w:bookmarkStart w:id="22" w:name="_Toc23439"/>
      <w:bookmarkStart w:id="23" w:name="_Toc129003129"/>
      <w:r>
        <w:rPr>
          <w:rFonts w:hint="eastAsia" w:ascii="仿宋" w:hAnsi="仿宋" w:eastAsia="仿宋" w:cs="仿宋"/>
          <w:sz w:val="28"/>
          <w:szCs w:val="28"/>
          <w:lang w:eastAsia="zh-CN" w:bidi="ar"/>
        </w:rPr>
        <w:t>3.竞赛场地禁止自带使用的设备和材料：</w:t>
      </w:r>
      <w:bookmarkEnd w:id="20"/>
      <w:bookmarkEnd w:id="21"/>
      <w:bookmarkEnd w:id="22"/>
      <w:bookmarkEnd w:id="23"/>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除防护用品外，参赛选手不得携带任何工具与耗材类设施。</w:t>
      </w:r>
    </w:p>
    <w:p>
      <w:pPr>
        <w:spacing w:line="360" w:lineRule="auto"/>
        <w:rPr>
          <w:rFonts w:hint="eastAsia" w:ascii="仿宋" w:hAnsi="仿宋" w:eastAsia="仿宋" w:cs="仿宋"/>
          <w:sz w:val="28"/>
          <w:szCs w:val="28"/>
          <w:lang w:eastAsia="zh-CN"/>
        </w:rPr>
      </w:pPr>
    </w:p>
    <w:p>
      <w:pPr>
        <w:pStyle w:val="3"/>
        <w:keepNext/>
        <w:keepLines/>
        <w:pageBreakBefore w:val="0"/>
        <w:widowControl/>
        <w:kinsoku w:val="0"/>
        <w:wordWrap/>
        <w:overflowPunct/>
        <w:topLinePunct w:val="0"/>
        <w:autoSpaceDE w:val="0"/>
        <w:autoSpaceDN w:val="0"/>
        <w:bidi w:val="0"/>
        <w:adjustRightInd w:val="0"/>
        <w:snapToGrid w:val="0"/>
        <w:spacing w:before="287" w:beforeLines="100" w:after="287" w:afterLines="100" w:line="360" w:lineRule="auto"/>
        <w:textAlignment w:val="baseline"/>
        <w:rPr>
          <w:rFonts w:hint="eastAsia" w:ascii="仿宋" w:hAnsi="仿宋" w:eastAsia="仿宋" w:cs="仿宋"/>
          <w:b/>
          <w:bCs/>
          <w:sz w:val="32"/>
          <w:szCs w:val="32"/>
          <w:lang w:eastAsia="zh-CN"/>
        </w:rPr>
      </w:pPr>
      <w:bookmarkStart w:id="24" w:name="_Toc10195"/>
      <w:r>
        <w:rPr>
          <w:rFonts w:hint="eastAsia" w:ascii="仿宋" w:hAnsi="仿宋" w:eastAsia="仿宋" w:cs="仿宋"/>
          <w:b/>
          <w:bCs/>
          <w:sz w:val="32"/>
          <w:szCs w:val="32"/>
          <w:lang w:eastAsia="zh-CN"/>
        </w:rPr>
        <w:t>五、安全、健康要求</w:t>
      </w:r>
      <w:bookmarkEnd w:id="24"/>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1．禁止选手及所有参加赛事的人员携带任何有毒有害物品进入竞赛现场。</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2．赛场必须留有安全通道；必须配备灭火设备；赛场应具备良好的通风、照明和操作空间要求。</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3．承办单位应设置专门的安全防卫组，负责竞赛期间健康和安全事务，主要包括检查竞赛场地、与会人员居住地及其周围环境的安全防护；做好大赛安全、健康和公共卫生及突发事件预防与应急处理等工作。</w:t>
      </w:r>
    </w:p>
    <w:p>
      <w:pPr>
        <w:spacing w:line="360" w:lineRule="auto"/>
        <w:ind w:firstLine="560" w:firstLineChars="200"/>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4．赛场必须配备医护人员和必须的药品和救护设备。</w:t>
      </w:r>
    </w:p>
    <w:sectPr>
      <w:pgSz w:w="11905" w:h="16834"/>
      <w:pgMar w:top="1430" w:right="1680" w:bottom="0" w:left="1785" w:header="0" w:footer="283"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LinTimes">
    <w:altName w:val="Segoe Print"/>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2650294"/>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6DDAB"/>
    <w:multiLevelType w:val="singleLevel"/>
    <w:tmpl w:val="5946DDA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TQ5NzU3Y2JkMDBhMjIzZjZiZTgxZjM5YzA3YzQyYTMifQ=="/>
  </w:docVars>
  <w:rsids>
    <w:rsidRoot w:val="00A174CA"/>
    <w:rsid w:val="0034053D"/>
    <w:rsid w:val="004A1B29"/>
    <w:rsid w:val="00506FF1"/>
    <w:rsid w:val="00531844"/>
    <w:rsid w:val="00556BC3"/>
    <w:rsid w:val="006105BA"/>
    <w:rsid w:val="00675DC1"/>
    <w:rsid w:val="006778CB"/>
    <w:rsid w:val="007205F6"/>
    <w:rsid w:val="00725296"/>
    <w:rsid w:val="00760AE7"/>
    <w:rsid w:val="007721A3"/>
    <w:rsid w:val="00971CC2"/>
    <w:rsid w:val="00A174CA"/>
    <w:rsid w:val="00A553C0"/>
    <w:rsid w:val="00AC28D5"/>
    <w:rsid w:val="00D35058"/>
    <w:rsid w:val="00D646AA"/>
    <w:rsid w:val="00D95E74"/>
    <w:rsid w:val="00DF1F52"/>
    <w:rsid w:val="00DF48D9"/>
    <w:rsid w:val="00E270E4"/>
    <w:rsid w:val="00E40275"/>
    <w:rsid w:val="00E72669"/>
    <w:rsid w:val="00EA60E3"/>
    <w:rsid w:val="0BC90743"/>
    <w:rsid w:val="0E977B1B"/>
    <w:rsid w:val="0EB56DC7"/>
    <w:rsid w:val="1B6034CD"/>
    <w:rsid w:val="1DB377EF"/>
    <w:rsid w:val="22F81991"/>
    <w:rsid w:val="2AE632C3"/>
    <w:rsid w:val="2F705B03"/>
    <w:rsid w:val="2FA608EB"/>
    <w:rsid w:val="3BA1126C"/>
    <w:rsid w:val="3F6C0049"/>
    <w:rsid w:val="42786A9F"/>
    <w:rsid w:val="445A0982"/>
    <w:rsid w:val="46D84A76"/>
    <w:rsid w:val="4DD75010"/>
    <w:rsid w:val="52207798"/>
    <w:rsid w:val="56F269C8"/>
    <w:rsid w:val="57B14A28"/>
    <w:rsid w:val="623E671D"/>
    <w:rsid w:val="6C1262D7"/>
    <w:rsid w:val="6E600263"/>
    <w:rsid w:val="6F4D5574"/>
    <w:rsid w:val="7A311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unhideWhenUsed/>
    <w:qFormat/>
    <w:uiPriority w:val="99"/>
    <w:pPr>
      <w:tabs>
        <w:tab w:val="center" w:pos="4153"/>
        <w:tab w:val="right" w:pos="8306"/>
      </w:tabs>
    </w:pPr>
    <w:rPr>
      <w:sz w:val="18"/>
      <w:szCs w:val="18"/>
    </w:rPr>
  </w:style>
  <w:style w:type="paragraph" w:styleId="5">
    <w:name w:val="index 8"/>
    <w:basedOn w:val="1"/>
    <w:next w:val="1"/>
    <w:qFormat/>
    <w:uiPriority w:val="0"/>
    <w:pPr>
      <w:ind w:left="1400" w:leftChars="1400"/>
    </w:pPr>
  </w:style>
  <w:style w:type="paragraph" w:styleId="6">
    <w:name w:val="Body Text"/>
    <w:basedOn w:val="1"/>
    <w:semiHidden/>
    <w:qFormat/>
    <w:uiPriority w:val="0"/>
    <w:rPr>
      <w:rFonts w:eastAsia="Arial"/>
    </w:rPr>
  </w:style>
  <w:style w:type="paragraph" w:styleId="7">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snapToGrid/>
      <w:color w:val="auto"/>
      <w:sz w:val="22"/>
      <w:szCs w:val="22"/>
      <w:lang w:eastAsia="zh-CN"/>
    </w:rPr>
  </w:style>
  <w:style w:type="paragraph" w:styleId="8">
    <w:name w:val="Plain Text"/>
    <w:basedOn w:val="1"/>
    <w:next w:val="5"/>
    <w:qFormat/>
    <w:uiPriority w:val="0"/>
    <w:rPr>
      <w:rFonts w:ascii="宋体" w:hAnsi="Courier New"/>
      <w:szCs w:val="20"/>
    </w:rPr>
  </w:style>
  <w:style w:type="paragraph" w:styleId="9">
    <w:name w:val="header"/>
    <w:basedOn w:val="1"/>
    <w:link w:val="19"/>
    <w:unhideWhenUsed/>
    <w:qFormat/>
    <w:uiPriority w:val="99"/>
    <w:pPr>
      <w:tabs>
        <w:tab w:val="center" w:pos="4153"/>
        <w:tab w:val="right" w:pos="8306"/>
      </w:tabs>
      <w:jc w:val="center"/>
    </w:pPr>
    <w:rPr>
      <w:sz w:val="18"/>
      <w:szCs w:val="18"/>
    </w:rPr>
  </w:style>
  <w:style w:type="paragraph" w:styleId="10">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snapToGrid/>
      <w:color w:val="auto"/>
      <w:sz w:val="22"/>
      <w:szCs w:val="22"/>
      <w:lang w:eastAsia="zh-CN"/>
    </w:rPr>
  </w:style>
  <w:style w:type="paragraph" w:styleId="11">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snapToGrid/>
      <w:color w:val="auto"/>
      <w:sz w:val="22"/>
      <w:szCs w:val="22"/>
      <w:lang w:eastAsia="zh-CN"/>
    </w:rPr>
  </w:style>
  <w:style w:type="paragraph" w:styleId="12">
    <w:name w:val="Body Text First Indent"/>
    <w:basedOn w:val="6"/>
    <w:qFormat/>
    <w:uiPriority w:val="99"/>
    <w:pPr>
      <w:spacing w:line="560" w:lineRule="exact"/>
      <w:ind w:firstLine="721" w:firstLineChars="200"/>
    </w:pPr>
    <w:rPr>
      <w:rFonts w:ascii="Calibri" w:cs="Calibri"/>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Times New Roman" w:hAnsi="Times New Roman" w:eastAsia="Times New Roman" w:cs="Times New Roman"/>
      <w:sz w:val="24"/>
      <w:szCs w:val="24"/>
    </w:rPr>
  </w:style>
  <w:style w:type="character" w:customStyle="1" w:styleId="19">
    <w:name w:val="页眉 字符"/>
    <w:basedOn w:val="15"/>
    <w:link w:val="9"/>
    <w:qFormat/>
    <w:uiPriority w:val="99"/>
    <w:rPr>
      <w:sz w:val="18"/>
      <w:szCs w:val="18"/>
    </w:rPr>
  </w:style>
  <w:style w:type="character" w:customStyle="1" w:styleId="20">
    <w:name w:val="页脚 字符"/>
    <w:basedOn w:val="15"/>
    <w:link w:val="2"/>
    <w:qFormat/>
    <w:uiPriority w:val="99"/>
    <w:rPr>
      <w:sz w:val="18"/>
      <w:szCs w:val="18"/>
    </w:rPr>
  </w:style>
  <w:style w:type="character" w:customStyle="1" w:styleId="21">
    <w:name w:val="标题 1 字符"/>
    <w:basedOn w:val="15"/>
    <w:link w:val="3"/>
    <w:qFormat/>
    <w:uiPriority w:val="9"/>
    <w:rPr>
      <w:b/>
      <w:bCs/>
      <w:kern w:val="44"/>
      <w:sz w:val="44"/>
      <w:szCs w:val="44"/>
    </w:rPr>
  </w:style>
  <w:style w:type="paragraph" w:customStyle="1" w:styleId="22">
    <w:name w:val="TOC 标题1"/>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F5597" w:themeColor="accent1" w:themeShade="BF"/>
      <w:kern w:val="0"/>
      <w:sz w:val="32"/>
      <w:szCs w:val="32"/>
      <w:lang w:eastAsia="zh-CN"/>
    </w:rPr>
  </w:style>
  <w:style w:type="character" w:customStyle="1" w:styleId="23">
    <w:name w:val="标题 2 字符"/>
    <w:basedOn w:val="15"/>
    <w:link w:val="4"/>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8718-6D63-4F6C-BAE5-6CBFCDB0672F}">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4454</Words>
  <Characters>4552</Characters>
  <Lines>43</Lines>
  <Paragraphs>12</Paragraphs>
  <TotalTime>2</TotalTime>
  <ScaleCrop>false</ScaleCrop>
  <LinksUpToDate>false</LinksUpToDate>
  <CharactersWithSpaces>4642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2022-08-15T08:53:00Z</dcterms:created>
  <dc:creator>Lenovo</dc:creator>
  <cp:lastModifiedBy>WORD</cp:lastModifiedBy>
  <dcterms:modified xsi:type="dcterms:W3CDTF">2023-10-25T02:00:34Z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2023-10-13T14:32:44Z</vt:filetime>
  </property>
  <property fmtid="{D5CDD505-2E9C-101B-9397-08002B2CF9AE}" pid="4" name="KSOProductBuildVer">
    <vt:lpwstr>2052-12.1.0.15712</vt:lpwstr>
  </property>
  <property fmtid="{D5CDD505-2E9C-101B-9397-08002B2CF9AE}" pid="5" name="ICV">
    <vt:lpwstr>1220D76E5E1743439BFEF9D91F305DFB_13</vt:lpwstr>
  </property>
</Properties>
</file>