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关于柳州职业技术大学荧光分光光度计采购项目(LZPU202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14</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14</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二、项目名称：荧光分光光度计采购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1015"/>
        <w:gridCol w:w="2950"/>
        <w:gridCol w:w="3569"/>
        <w:gridCol w:w="2512"/>
      </w:tblGrid>
      <w:tr w14:paraId="5A04BDAE">
        <w:tblPrEx>
          <w:tblCellMar>
            <w:top w:w="15" w:type="dxa"/>
            <w:left w:w="15" w:type="dxa"/>
            <w:bottom w:w="15" w:type="dxa"/>
            <w:right w:w="15" w:type="dxa"/>
          </w:tblCellMar>
        </w:tblPrEx>
        <w:tc>
          <w:tcPr>
            <w:tcW w:w="5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46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77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5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46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 xml:space="preserve">荧光分光光度计采购 </w:t>
            </w:r>
          </w:p>
        </w:tc>
        <w:tc>
          <w:tcPr>
            <w:tcW w:w="177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环境与食品工程学院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联系方式：18934829352</w:t>
      </w:r>
      <w:r>
        <w:rPr>
          <w:rFonts w:hint="eastAsia" w:asciiTheme="minorEastAsia" w:hAnsiTheme="minorEastAsia"/>
          <w:sz w:val="28"/>
          <w:szCs w:val="28"/>
          <w:lang w:val="en-US" w:eastAsia="zh-CN"/>
        </w:rPr>
        <w:t xml:space="preserve"> 王</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国有</w:t>
      </w:r>
      <w:r>
        <w:rPr>
          <w:rFonts w:hint="eastAsia" w:asciiTheme="minorEastAsia" w:hAnsiTheme="minorEastAsia"/>
          <w:sz w:val="28"/>
          <w:szCs w:val="28"/>
        </w:rPr>
        <w:t>资产管理处</w:t>
      </w:r>
      <w:bookmarkStart w:id="0" w:name="_GoBack"/>
      <w:bookmarkEnd w:id="0"/>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29EE5CAC"/>
    <w:rsid w:val="3C9D4DC1"/>
    <w:rsid w:val="5212208C"/>
    <w:rsid w:val="575A3803"/>
    <w:rsid w:val="60A106DA"/>
    <w:rsid w:val="668A3FE0"/>
    <w:rsid w:val="7D0A5D01"/>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283</Words>
  <Characters>317</Characters>
  <Lines>3</Lines>
  <Paragraphs>1</Paragraphs>
  <TotalTime>0</TotalTime>
  <ScaleCrop>false</ScaleCrop>
  <LinksUpToDate>false</LinksUpToDate>
  <CharactersWithSpaces>447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2026-06-03T00:53:27Z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