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DB978">
      <w:pPr>
        <w:pStyle w:val="19"/>
        <w:jc w:val="center"/>
        <w:rPr>
          <w:rFonts w:hint="eastAsia"/>
          <w:b/>
          <w:sz w:val="40"/>
          <w:szCs w:val="40"/>
        </w:rPr>
      </w:pPr>
      <w:r>
        <w:rPr>
          <w:rFonts w:hint="eastAsia"/>
          <w:b/>
          <w:sz w:val="40"/>
          <w:szCs w:val="40"/>
        </w:rPr>
        <w:t>柳州职业技术大学2026年度零星工程造价咨询服务</w:t>
      </w:r>
    </w:p>
    <w:p w14:paraId="56894F46">
      <w:pPr>
        <w:pStyle w:val="19"/>
        <w:jc w:val="center"/>
        <w:rPr>
          <w:rFonts w:hint="eastAsia"/>
          <w:b/>
          <w:sz w:val="40"/>
          <w:szCs w:val="40"/>
        </w:rPr>
      </w:pPr>
      <w:r>
        <w:rPr>
          <w:rFonts w:hint="eastAsia"/>
          <w:b/>
          <w:sz w:val="40"/>
          <w:szCs w:val="40"/>
        </w:rPr>
        <w:t>采购项目市场询价公告</w:t>
      </w:r>
    </w:p>
    <w:p w14:paraId="56BDE6CC">
      <w:pPr>
        <w:numPr>
          <w:ilvl w:val="0"/>
          <w:numId w:val="1"/>
        </w:numPr>
        <w:spacing w:line="500" w:lineRule="exact"/>
        <w:rPr>
          <w:rFonts w:ascii="宋体" w:hAnsi="宋体" w:cs="宋体"/>
          <w:b w:val="0"/>
          <w:bCs/>
          <w:sz w:val="24"/>
          <w:szCs w:val="24"/>
        </w:rPr>
      </w:pPr>
      <w:r>
        <w:rPr>
          <w:rFonts w:hint="eastAsia" w:ascii="宋体" w:hAnsi="宋体" w:cs="宋体"/>
          <w:sz w:val="24"/>
          <w:szCs w:val="24"/>
        </w:rPr>
        <w:t>项目名称：</w:t>
      </w:r>
      <w:r>
        <w:rPr>
          <w:rFonts w:hint="eastAsia" w:ascii="宋体" w:hAnsi="宋体" w:cs="宋体"/>
          <w:b w:val="0"/>
          <w:bCs/>
          <w:sz w:val="24"/>
          <w:szCs w:val="24"/>
        </w:rPr>
        <w:t>2026年度零星工程造价咨询服务</w:t>
      </w:r>
    </w:p>
    <w:p w14:paraId="7809A7B3">
      <w:pPr>
        <w:numPr>
          <w:ilvl w:val="0"/>
          <w:numId w:val="1"/>
        </w:numPr>
        <w:spacing w:line="500" w:lineRule="exact"/>
        <w:rPr>
          <w:rFonts w:ascii="宋体" w:hAnsi="宋体" w:cs="宋体"/>
          <w:sz w:val="24"/>
          <w:szCs w:val="24"/>
        </w:rPr>
      </w:pPr>
      <w:r>
        <w:rPr>
          <w:rFonts w:hint="eastAsia" w:ascii="宋体" w:hAnsi="宋体" w:cs="宋体"/>
          <w:sz w:val="24"/>
          <w:szCs w:val="24"/>
        </w:rPr>
        <w:t>询价采购项目预算金额：（人民币大写）</w:t>
      </w:r>
      <w:r>
        <w:rPr>
          <w:rFonts w:hint="eastAsia" w:ascii="宋体" w:hAnsi="宋体" w:cs="宋体"/>
          <w:sz w:val="24"/>
          <w:szCs w:val="24"/>
          <w:lang w:val="en-US" w:eastAsia="zh-CN"/>
        </w:rPr>
        <w:t>肆</w:t>
      </w:r>
      <w:r>
        <w:rPr>
          <w:rFonts w:hint="eastAsia" w:ascii="宋体" w:hAnsi="宋体" w:cs="宋体"/>
          <w:sz w:val="24"/>
          <w:szCs w:val="24"/>
        </w:rPr>
        <w:t>万元整（¥</w:t>
      </w:r>
      <w:r>
        <w:rPr>
          <w:rFonts w:hint="eastAsia" w:ascii="宋体" w:hAnsi="宋体" w:cs="宋体"/>
          <w:sz w:val="24"/>
          <w:szCs w:val="24"/>
          <w:lang w:val="en-US" w:eastAsia="zh-CN"/>
        </w:rPr>
        <w:t>40000</w:t>
      </w:r>
      <w:r>
        <w:rPr>
          <w:rFonts w:hint="eastAsia" w:ascii="宋体" w:hAnsi="宋体" w:cs="宋体"/>
          <w:sz w:val="24"/>
          <w:szCs w:val="24"/>
        </w:rPr>
        <w:t>.00 ）</w:t>
      </w:r>
    </w:p>
    <w:p w14:paraId="698F4AE5">
      <w:pPr>
        <w:numPr>
          <w:ilvl w:val="0"/>
          <w:numId w:val="1"/>
        </w:numPr>
        <w:spacing w:line="500" w:lineRule="exact"/>
        <w:rPr>
          <w:rFonts w:ascii="宋体" w:hAnsi="宋体" w:cs="宋体"/>
          <w:sz w:val="24"/>
          <w:szCs w:val="24"/>
        </w:rPr>
      </w:pPr>
      <w:r>
        <w:rPr>
          <w:rFonts w:hint="eastAsia" w:ascii="Arial" w:hAnsi="Arial" w:cs="Arial"/>
          <w:bCs/>
          <w:color w:val="auto"/>
          <w:kern w:val="0"/>
          <w:sz w:val="24"/>
          <w:szCs w:val="28"/>
          <w:lang w:bidi="en-US"/>
        </w:rPr>
        <w:t>评标方法：</w:t>
      </w:r>
      <w:r>
        <w:rPr>
          <w:rFonts w:hint="eastAsia" w:ascii="宋体" w:hAnsi="宋体" w:cs="宋体"/>
          <w:sz w:val="24"/>
          <w:szCs w:val="24"/>
        </w:rPr>
        <w:t>最低评标价法，按让利率报价</w:t>
      </w:r>
    </w:p>
    <w:p w14:paraId="6ECA11A2">
      <w:pPr>
        <w:numPr>
          <w:ilvl w:val="0"/>
          <w:numId w:val="1"/>
        </w:numPr>
        <w:spacing w:line="500" w:lineRule="exact"/>
        <w:rPr>
          <w:rFonts w:ascii="宋体" w:hAnsi="宋体"/>
          <w:sz w:val="24"/>
          <w:szCs w:val="24"/>
        </w:rPr>
      </w:pPr>
      <w:r>
        <w:rPr>
          <w:rFonts w:hint="eastAsia" w:ascii="宋体" w:hAnsi="宋体"/>
          <w:sz w:val="24"/>
          <w:szCs w:val="24"/>
        </w:rPr>
        <w:t>采购要求：</w:t>
      </w:r>
    </w:p>
    <w:p w14:paraId="04E96087">
      <w:pPr>
        <w:pStyle w:val="6"/>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3"/>
        <w:tblW w:w="9747" w:type="dxa"/>
        <w:tblInd w:w="0" w:type="dxa"/>
        <w:tblLayout w:type="fixed"/>
        <w:tblCellMar>
          <w:top w:w="0" w:type="dxa"/>
          <w:left w:w="108" w:type="dxa"/>
          <w:bottom w:w="0" w:type="dxa"/>
          <w:right w:w="108" w:type="dxa"/>
        </w:tblCellMar>
      </w:tblPr>
      <w:tblGrid>
        <w:gridCol w:w="412"/>
        <w:gridCol w:w="992"/>
        <w:gridCol w:w="6784"/>
        <w:gridCol w:w="709"/>
        <w:gridCol w:w="850"/>
      </w:tblGrid>
      <w:tr w14:paraId="46D298CB">
        <w:tblPrEx>
          <w:tblCellMar>
            <w:top w:w="0" w:type="dxa"/>
            <w:left w:w="108" w:type="dxa"/>
            <w:bottom w:w="0" w:type="dxa"/>
            <w:right w:w="108" w:type="dxa"/>
          </w:tblCellMar>
        </w:tblPrEx>
        <w:trPr>
          <w:trHeight w:val="1066" w:hRule="atLeast"/>
        </w:trPr>
        <w:tc>
          <w:tcPr>
            <w:tcW w:w="412" w:type="dxa"/>
            <w:tcBorders>
              <w:top w:val="single" w:color="auto" w:sz="4" w:space="0"/>
              <w:left w:val="single" w:color="auto" w:sz="4" w:space="0"/>
              <w:bottom w:val="single" w:color="auto" w:sz="4" w:space="0"/>
              <w:right w:val="single" w:color="auto" w:sz="4" w:space="0"/>
            </w:tcBorders>
            <w:vAlign w:val="center"/>
          </w:tcPr>
          <w:p w14:paraId="1B6C888D">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序号</w:t>
            </w:r>
          </w:p>
        </w:tc>
        <w:tc>
          <w:tcPr>
            <w:tcW w:w="992" w:type="dxa"/>
            <w:tcBorders>
              <w:top w:val="single" w:color="auto" w:sz="4" w:space="0"/>
              <w:left w:val="nil"/>
              <w:bottom w:val="single" w:color="auto" w:sz="4" w:space="0"/>
              <w:right w:val="single" w:color="auto" w:sz="4" w:space="0"/>
            </w:tcBorders>
            <w:vAlign w:val="center"/>
          </w:tcPr>
          <w:p w14:paraId="7D268E91">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名称</w:t>
            </w:r>
          </w:p>
        </w:tc>
        <w:tc>
          <w:tcPr>
            <w:tcW w:w="6784" w:type="dxa"/>
            <w:tcBorders>
              <w:top w:val="single" w:color="auto" w:sz="4" w:space="0"/>
              <w:left w:val="nil"/>
              <w:bottom w:val="single" w:color="auto" w:sz="4" w:space="0"/>
              <w:right w:val="single" w:color="auto" w:sz="4" w:space="0"/>
            </w:tcBorders>
            <w:vAlign w:val="center"/>
          </w:tcPr>
          <w:p w14:paraId="1704C5A6">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参数要求</w:t>
            </w:r>
          </w:p>
        </w:tc>
        <w:tc>
          <w:tcPr>
            <w:tcW w:w="709" w:type="dxa"/>
            <w:tcBorders>
              <w:top w:val="single" w:color="auto" w:sz="4" w:space="0"/>
              <w:left w:val="single" w:color="auto" w:sz="4" w:space="0"/>
              <w:bottom w:val="single" w:color="auto" w:sz="4" w:space="0"/>
              <w:right w:val="single" w:color="auto" w:sz="4" w:space="0"/>
            </w:tcBorders>
            <w:vAlign w:val="center"/>
          </w:tcPr>
          <w:p w14:paraId="103034BA">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14:paraId="08B7CB58">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数量</w:t>
            </w:r>
          </w:p>
        </w:tc>
      </w:tr>
      <w:tr w14:paraId="79EA0FB8">
        <w:tblPrEx>
          <w:tblCellMar>
            <w:top w:w="0" w:type="dxa"/>
            <w:left w:w="108" w:type="dxa"/>
            <w:bottom w:w="0" w:type="dxa"/>
            <w:right w:w="108" w:type="dxa"/>
          </w:tblCellMar>
        </w:tblPrEx>
        <w:trPr>
          <w:trHeight w:val="1066" w:hRule="atLeast"/>
        </w:trPr>
        <w:tc>
          <w:tcPr>
            <w:tcW w:w="412" w:type="dxa"/>
            <w:tcBorders>
              <w:top w:val="single" w:color="auto" w:sz="4" w:space="0"/>
              <w:left w:val="single" w:color="auto" w:sz="4" w:space="0"/>
              <w:bottom w:val="single" w:color="auto" w:sz="4" w:space="0"/>
              <w:right w:val="single" w:color="auto" w:sz="4" w:space="0"/>
            </w:tcBorders>
            <w:vAlign w:val="top"/>
          </w:tcPr>
          <w:p w14:paraId="085A4A47">
            <w:pPr>
              <w:widowControl/>
              <w:jc w:val="both"/>
              <w:rPr>
                <w:rFonts w:hint="eastAsia" w:ascii="宋体" w:hAnsi="宋体" w:cs="宋体"/>
                <w:b w:val="0"/>
                <w:bCs w:val="0"/>
                <w:color w:val="000000"/>
                <w:kern w:val="0"/>
                <w:sz w:val="22"/>
                <w:szCs w:val="22"/>
              </w:rPr>
            </w:pPr>
            <w:r>
              <w:rPr>
                <w:rFonts w:hint="eastAsia" w:cs="宋体" w:asciiTheme="minorEastAsia" w:hAnsiTheme="minorEastAsia"/>
                <w:b w:val="0"/>
                <w:bCs w:val="0"/>
                <w:color w:val="000000"/>
                <w:kern w:val="0"/>
                <w:sz w:val="22"/>
                <w:szCs w:val="22"/>
              </w:rPr>
              <w:t>1</w:t>
            </w:r>
          </w:p>
        </w:tc>
        <w:tc>
          <w:tcPr>
            <w:tcW w:w="992" w:type="dxa"/>
            <w:tcBorders>
              <w:top w:val="single" w:color="auto" w:sz="4" w:space="0"/>
              <w:left w:val="nil"/>
              <w:bottom w:val="single" w:color="auto" w:sz="4" w:space="0"/>
              <w:right w:val="single" w:color="auto" w:sz="4" w:space="0"/>
            </w:tcBorders>
            <w:vAlign w:val="top"/>
          </w:tcPr>
          <w:p w14:paraId="13E941B7">
            <w:pPr>
              <w:widowControl/>
              <w:jc w:val="both"/>
              <w:rPr>
                <w:rFonts w:hint="eastAsia" w:ascii="宋体" w:hAnsi="宋体" w:cs="宋体"/>
                <w:b w:val="0"/>
                <w:bCs w:val="0"/>
                <w:color w:val="000000"/>
                <w:kern w:val="0"/>
                <w:sz w:val="22"/>
                <w:szCs w:val="22"/>
              </w:rPr>
            </w:pPr>
            <w:r>
              <w:rPr>
                <w:rFonts w:hint="eastAsia" w:ascii="宋体" w:hAnsi="宋体" w:cs="宋体"/>
                <w:b w:val="0"/>
                <w:bCs w:val="0"/>
                <w:sz w:val="24"/>
                <w:szCs w:val="24"/>
              </w:rPr>
              <w:t>2026年度零星工程造价咨询服务</w:t>
            </w:r>
          </w:p>
        </w:tc>
        <w:tc>
          <w:tcPr>
            <w:tcW w:w="6784" w:type="dxa"/>
            <w:tcBorders>
              <w:top w:val="single" w:color="auto" w:sz="4" w:space="0"/>
              <w:left w:val="nil"/>
              <w:bottom w:val="single" w:color="auto" w:sz="4" w:space="0"/>
              <w:right w:val="single" w:color="auto" w:sz="4" w:space="0"/>
            </w:tcBorders>
            <w:vAlign w:val="center"/>
          </w:tcPr>
          <w:p w14:paraId="6AF5D168">
            <w:pPr>
              <w:widowControl/>
              <w:numPr>
                <w:ilvl w:val="0"/>
                <w:numId w:val="0"/>
              </w:numPr>
              <w:adjustRightInd w:val="0"/>
              <w:snapToGrid w:val="0"/>
              <w:spacing w:line="520" w:lineRule="exact"/>
              <w:jc w:val="left"/>
              <w:rPr>
                <w:rFonts w:hint="eastAsia" w:cs="Arial" w:asciiTheme="majorEastAsia" w:hAnsiTheme="majorEastAsia" w:eastAsiaTheme="majorEastAsia"/>
                <w:kern w:val="0"/>
                <w:sz w:val="21"/>
                <w:szCs w:val="21"/>
                <w:lang w:val="en-US" w:eastAsia="zh-CN"/>
              </w:rPr>
            </w:pPr>
            <w:r>
              <w:rPr>
                <w:rFonts w:hint="eastAsia" w:cs="Arial" w:asciiTheme="majorEastAsia" w:hAnsiTheme="majorEastAsia" w:eastAsiaTheme="majorEastAsia"/>
                <w:kern w:val="0"/>
                <w:sz w:val="21"/>
                <w:szCs w:val="21"/>
                <w:lang w:val="en-US" w:eastAsia="zh-CN"/>
              </w:rPr>
              <w:t>一、项目服务地点及内容范围</w:t>
            </w:r>
          </w:p>
          <w:p w14:paraId="5A193E5C">
            <w:pPr>
              <w:widowControl/>
              <w:numPr>
                <w:ilvl w:val="0"/>
                <w:numId w:val="0"/>
              </w:numPr>
              <w:adjustRightInd w:val="0"/>
              <w:snapToGrid w:val="0"/>
              <w:spacing w:line="520" w:lineRule="exact"/>
              <w:ind w:firstLine="420" w:firstLineChars="200"/>
              <w:jc w:val="left"/>
              <w:rPr>
                <w:rFonts w:hint="eastAsia" w:cs="Arial" w:asciiTheme="majorEastAsia" w:hAnsiTheme="majorEastAsia" w:eastAsiaTheme="majorEastAsia"/>
                <w:kern w:val="0"/>
                <w:sz w:val="21"/>
                <w:szCs w:val="21"/>
                <w:lang w:val="en-US" w:eastAsia="zh-CN"/>
              </w:rPr>
            </w:pPr>
            <w:r>
              <w:rPr>
                <w:rFonts w:hint="eastAsia" w:cs="Arial" w:asciiTheme="majorEastAsia" w:hAnsiTheme="majorEastAsia" w:eastAsiaTheme="majorEastAsia"/>
                <w:kern w:val="0"/>
                <w:sz w:val="21"/>
                <w:szCs w:val="21"/>
                <w:lang w:val="en-US" w:eastAsia="zh-CN"/>
              </w:rPr>
              <w:t>柳州职业技术大学社湾、官塘两个校区内</w:t>
            </w:r>
            <w:r>
              <w:rPr>
                <w:rFonts w:hint="default" w:cs="Arial" w:asciiTheme="majorEastAsia" w:hAnsiTheme="majorEastAsia" w:eastAsiaTheme="majorEastAsia"/>
                <w:kern w:val="0"/>
                <w:sz w:val="21"/>
                <w:szCs w:val="21"/>
                <w:lang w:val="en-US" w:eastAsia="zh-CN"/>
              </w:rPr>
              <w:t>各区域</w:t>
            </w:r>
            <w:r>
              <w:rPr>
                <w:rFonts w:hint="eastAsia" w:cs="Arial" w:asciiTheme="majorEastAsia" w:hAnsiTheme="majorEastAsia" w:eastAsiaTheme="majorEastAsia"/>
                <w:kern w:val="0"/>
                <w:sz w:val="21"/>
                <w:szCs w:val="21"/>
                <w:lang w:val="en-US" w:eastAsia="zh-CN"/>
              </w:rPr>
              <w:t>；服务范围：教学楼、宿舍、食堂、操场等建筑及附属设施的修缮、装修、改造工程；水电管网、消防设施、智能化设备等零星安装工程；绿化景观、道路铺装等校园环境零星工程等，总投资金额5-60万元零星工程项目的前期造价咨询服务；</w:t>
            </w:r>
          </w:p>
          <w:p w14:paraId="0BDD1611">
            <w:pPr>
              <w:numPr>
                <w:ilvl w:val="0"/>
                <w:numId w:val="2"/>
              </w:numPr>
              <w:ind w:leftChars="0"/>
              <w:jc w:val="left"/>
              <w:rPr>
                <w:rFonts w:hint="eastAsia"/>
              </w:rPr>
            </w:pPr>
            <w:r>
              <w:rPr>
                <w:rFonts w:hint="eastAsia" w:ascii="宋体" w:hAnsi="宋体" w:eastAsia="宋体" w:cs="Times New Roman"/>
                <w:b w:val="0"/>
                <w:bCs w:val="0"/>
                <w:kern w:val="2"/>
                <w:sz w:val="21"/>
                <w:szCs w:val="21"/>
                <w:lang w:val="en-US" w:eastAsia="zh-CN" w:bidi="ar-SA"/>
              </w:rPr>
              <w:t>报价形式</w:t>
            </w:r>
          </w:p>
          <w:p w14:paraId="1BBBFA75">
            <w:pPr>
              <w:widowControl/>
              <w:numPr>
                <w:ilvl w:val="0"/>
                <w:numId w:val="0"/>
              </w:numPr>
              <w:adjustRightInd w:val="0"/>
              <w:snapToGrid w:val="0"/>
              <w:spacing w:line="520" w:lineRule="exact"/>
              <w:ind w:firstLine="422" w:firstLineChars="200"/>
              <w:jc w:val="left"/>
              <w:rPr>
                <w:rFonts w:hint="eastAsia" w:asciiTheme="majorEastAsia" w:hAnsiTheme="majorEastAsia" w:eastAsiaTheme="majorEastAsia"/>
                <w:highlight w:val="none"/>
                <w:lang w:val="en-US" w:eastAsia="zh-CN"/>
              </w:rPr>
            </w:pPr>
            <w:r>
              <w:rPr>
                <w:rFonts w:hint="eastAsia" w:ascii="宋体" w:hAnsi="宋体" w:cs="宋体"/>
                <w:b/>
                <w:bCs w:val="0"/>
                <w:szCs w:val="21"/>
                <w:highlight w:val="none"/>
              </w:rPr>
              <w:t>报价按让利率报价，</w:t>
            </w:r>
            <w:r>
              <w:rPr>
                <w:rFonts w:hint="eastAsia"/>
                <w:b/>
                <w:bCs w:val="0"/>
                <w:highlight w:val="none"/>
                <w:lang w:val="en-US" w:eastAsia="zh-CN"/>
              </w:rPr>
              <w:t>让利率报价不得低于18%，</w:t>
            </w:r>
            <w:r>
              <w:rPr>
                <w:rFonts w:hint="eastAsia" w:ascii="宋体" w:hAnsi="宋体" w:cs="宋体"/>
                <w:b/>
                <w:bCs w:val="0"/>
                <w:szCs w:val="21"/>
                <w:highlight w:val="none"/>
              </w:rPr>
              <w:t>让利率最高者中标</w:t>
            </w:r>
            <w:r>
              <w:rPr>
                <w:rFonts w:hint="eastAsia" w:ascii="宋体" w:hAnsi="宋体" w:cs="宋体"/>
                <w:bCs/>
                <w:szCs w:val="21"/>
                <w:highlight w:val="none"/>
              </w:rPr>
              <w:t>。</w:t>
            </w:r>
            <w:r>
              <w:rPr>
                <w:rFonts w:hint="eastAsia" w:asciiTheme="majorEastAsia" w:hAnsiTheme="majorEastAsia" w:eastAsiaTheme="majorEastAsia"/>
                <w:highlight w:val="none"/>
              </w:rPr>
              <w:t>合同签订之日起</w:t>
            </w:r>
            <w:r>
              <w:rPr>
                <w:rFonts w:hint="eastAsia" w:asciiTheme="majorEastAsia" w:hAnsiTheme="majorEastAsia" w:eastAsiaTheme="majorEastAsia"/>
                <w:highlight w:val="none"/>
                <w:lang w:val="en-US" w:eastAsia="zh-CN"/>
              </w:rPr>
              <w:t>一</w:t>
            </w:r>
            <w:r>
              <w:rPr>
                <w:rFonts w:hint="eastAsia" w:asciiTheme="majorEastAsia" w:hAnsiTheme="majorEastAsia" w:eastAsiaTheme="majorEastAsia"/>
                <w:highlight w:val="none"/>
              </w:rPr>
              <w:t>年（或合同金额执行完毕止）</w:t>
            </w:r>
            <w:r>
              <w:rPr>
                <w:rFonts w:hint="eastAsia" w:ascii="宋体" w:hAnsi="宋体" w:eastAsiaTheme="majorEastAsia"/>
                <w:szCs w:val="21"/>
                <w:highlight w:val="none"/>
                <w:lang w:eastAsia="zh-CN"/>
              </w:rPr>
              <w:t>，</w:t>
            </w:r>
            <w:r>
              <w:rPr>
                <w:rFonts w:hint="eastAsia" w:ascii="宋体" w:hAnsi="宋体"/>
                <w:szCs w:val="21"/>
                <w:highlight w:val="none"/>
              </w:rPr>
              <w:t>总结算金额</w:t>
            </w:r>
            <w:r>
              <w:rPr>
                <w:rFonts w:hint="eastAsia" w:ascii="宋体" w:hAnsi="宋体"/>
                <w:szCs w:val="21"/>
                <w:highlight w:val="none"/>
                <w:lang w:val="en-US" w:eastAsia="zh-CN"/>
              </w:rPr>
              <w:t>上限</w:t>
            </w:r>
            <w:r>
              <w:rPr>
                <w:rFonts w:hint="eastAsia" w:ascii="宋体" w:hAnsi="宋体"/>
                <w:szCs w:val="21"/>
                <w:highlight w:val="none"/>
              </w:rPr>
              <w:t>不超过</w:t>
            </w:r>
            <w:r>
              <w:rPr>
                <w:rFonts w:hint="eastAsia" w:asciiTheme="majorEastAsia" w:hAnsiTheme="majorEastAsia" w:eastAsiaTheme="majorEastAsia"/>
                <w:highlight w:val="none"/>
                <w:lang w:val="en-US" w:eastAsia="zh-CN"/>
              </w:rPr>
              <w:t>4万元。</w:t>
            </w:r>
          </w:p>
          <w:p w14:paraId="57339E1E">
            <w:pPr>
              <w:widowControl/>
              <w:numPr>
                <w:ilvl w:val="0"/>
                <w:numId w:val="0"/>
              </w:numPr>
              <w:adjustRightInd w:val="0"/>
              <w:snapToGrid w:val="0"/>
              <w:spacing w:line="520" w:lineRule="exact"/>
              <w:jc w:val="left"/>
              <w:rPr>
                <w:rFonts w:hint="default" w:cs="Arial" w:asciiTheme="majorEastAsia" w:hAnsiTheme="majorEastAsia" w:eastAsiaTheme="majorEastAsia"/>
                <w:kern w:val="0"/>
                <w:sz w:val="21"/>
                <w:szCs w:val="21"/>
                <w:lang w:val="en-US" w:eastAsia="zh-CN"/>
              </w:rPr>
            </w:pPr>
            <w:r>
              <w:rPr>
                <w:rFonts w:hint="eastAsia" w:cs="Arial" w:asciiTheme="majorEastAsia" w:hAnsiTheme="majorEastAsia" w:eastAsiaTheme="majorEastAsia"/>
                <w:kern w:val="0"/>
                <w:sz w:val="21"/>
                <w:szCs w:val="21"/>
                <w:lang w:val="en-US" w:eastAsia="zh-CN"/>
              </w:rPr>
              <w:t>三、</w:t>
            </w:r>
            <w:r>
              <w:rPr>
                <w:rFonts w:hint="default" w:cs="Arial" w:asciiTheme="majorEastAsia" w:hAnsiTheme="majorEastAsia" w:eastAsiaTheme="majorEastAsia"/>
                <w:kern w:val="0"/>
                <w:sz w:val="21"/>
                <w:szCs w:val="21"/>
                <w:lang w:val="en-US" w:eastAsia="zh-CN"/>
              </w:rPr>
              <w:t>服务内容与技术要求</w:t>
            </w:r>
          </w:p>
          <w:p w14:paraId="6DE7D203">
            <w:pPr>
              <w:widowControl/>
              <w:numPr>
                <w:ilvl w:val="0"/>
                <w:numId w:val="0"/>
              </w:numPr>
              <w:adjustRightInd w:val="0"/>
              <w:snapToGrid w:val="0"/>
              <w:spacing w:line="520" w:lineRule="exact"/>
              <w:jc w:val="left"/>
              <w:rPr>
                <w:rFonts w:hint="eastAsia" w:asciiTheme="majorEastAsia" w:hAnsiTheme="majorEastAsia" w:eastAsiaTheme="majorEastAsia"/>
                <w:highlight w:val="none"/>
                <w:lang w:val="en-US" w:eastAsia="zh-CN"/>
              </w:rPr>
            </w:pPr>
            <w:r>
              <w:rPr>
                <w:rFonts w:hint="eastAsia" w:cs="Arial" w:asciiTheme="majorEastAsia" w:hAnsiTheme="majorEastAsia" w:eastAsiaTheme="majorEastAsia"/>
                <w:kern w:val="0"/>
                <w:sz w:val="21"/>
                <w:szCs w:val="21"/>
                <w:lang w:val="en-US" w:eastAsia="zh-CN"/>
              </w:rPr>
              <w:t>1.</w:t>
            </w:r>
            <w:r>
              <w:rPr>
                <w:rFonts w:hint="eastAsia" w:asciiTheme="majorEastAsia" w:hAnsiTheme="majorEastAsia" w:eastAsiaTheme="majorEastAsia"/>
                <w:highlight w:val="none"/>
                <w:lang w:val="en-US" w:eastAsia="zh-CN"/>
              </w:rPr>
              <w:t>服务内容包含现场实地核量、踏勘取证、工程量清单编制、招标控制价编制、主材市场询价、成果校对、配合甲方及上级部门审核、答疑修正、资料归档等全过程服务。</w:t>
            </w:r>
          </w:p>
          <w:p w14:paraId="1AF07398">
            <w:pPr>
              <w:widowControl/>
              <w:numPr>
                <w:ilvl w:val="0"/>
                <w:numId w:val="0"/>
              </w:numPr>
              <w:adjustRightInd w:val="0"/>
              <w:snapToGrid w:val="0"/>
              <w:spacing w:line="520" w:lineRule="exact"/>
              <w:jc w:val="left"/>
              <w:rPr>
                <w:rFonts w:hint="eastAsia" w:cs="Arial" w:asciiTheme="majorEastAsia" w:hAnsiTheme="majorEastAsia" w:eastAsiaTheme="majorEastAsia"/>
                <w:kern w:val="0"/>
                <w:sz w:val="21"/>
                <w:szCs w:val="21"/>
                <w:lang w:val="en-US" w:eastAsia="zh-CN"/>
              </w:rPr>
            </w:pPr>
            <w:r>
              <w:rPr>
                <w:rFonts w:hint="eastAsia" w:cs="Arial" w:asciiTheme="majorEastAsia" w:hAnsiTheme="majorEastAsia" w:eastAsiaTheme="majorEastAsia"/>
                <w:kern w:val="0"/>
                <w:sz w:val="21"/>
                <w:szCs w:val="21"/>
                <w:lang w:val="en-US" w:eastAsia="zh-CN"/>
              </w:rPr>
              <w:t>2.编制要求:按照国家、自治区及柳州市有关规定及政策，达到国家及有关业务主管部门的要求和深度，出具编制成果。</w:t>
            </w:r>
          </w:p>
          <w:p w14:paraId="7CE9D049">
            <w:pPr>
              <w:spacing w:line="360" w:lineRule="auto"/>
              <w:rPr>
                <w:rFonts w:hint="eastAsia" w:cs="Arial" w:asciiTheme="majorEastAsia" w:hAnsiTheme="majorEastAsia" w:eastAsiaTheme="majorEastAsia"/>
                <w:kern w:val="0"/>
                <w:sz w:val="21"/>
                <w:szCs w:val="21"/>
                <w:lang w:val="en-US" w:eastAsia="zh-CN"/>
              </w:rPr>
            </w:pPr>
            <w:r>
              <w:rPr>
                <w:rFonts w:hint="eastAsia" w:cs="Arial" w:asciiTheme="majorEastAsia" w:hAnsiTheme="majorEastAsia" w:eastAsiaTheme="majorEastAsia"/>
                <w:kern w:val="0"/>
                <w:sz w:val="21"/>
                <w:szCs w:val="21"/>
                <w:lang w:val="en-US" w:eastAsia="zh-CN"/>
              </w:rPr>
              <w:t>3.编制方式:报价人根据《建设工程工程量清单计价规范》GB50500-2013（如有更新按最新版执行），完成施工图纸范围内的工程量清单及控制价(或标底)的编制工作。</w:t>
            </w:r>
          </w:p>
          <w:p w14:paraId="39A88829">
            <w:pPr>
              <w:widowControl/>
              <w:numPr>
                <w:ilvl w:val="0"/>
                <w:numId w:val="0"/>
              </w:numPr>
              <w:adjustRightInd w:val="0"/>
              <w:snapToGrid w:val="0"/>
              <w:spacing w:line="520" w:lineRule="exact"/>
              <w:ind w:firstLine="420" w:firstLineChars="200"/>
              <w:jc w:val="left"/>
              <w:rPr>
                <w:rFonts w:hint="eastAsia" w:cs="Arial" w:asciiTheme="majorEastAsia" w:hAnsiTheme="majorEastAsia" w:eastAsiaTheme="majorEastAsia"/>
                <w:kern w:val="0"/>
                <w:sz w:val="21"/>
                <w:szCs w:val="21"/>
                <w:lang w:val="en-US" w:eastAsia="zh-CN"/>
              </w:rPr>
            </w:pPr>
            <w:r>
              <w:rPr>
                <w:rFonts w:hint="eastAsia" w:cs="Arial" w:asciiTheme="majorEastAsia" w:hAnsiTheme="majorEastAsia" w:eastAsiaTheme="majorEastAsia"/>
                <w:kern w:val="0"/>
                <w:sz w:val="21"/>
                <w:szCs w:val="21"/>
                <w:lang w:val="en-US" w:eastAsia="zh-CN"/>
              </w:rPr>
              <w:t>工程量清单及控制价(或标底)的编制时限要求：</w:t>
            </w:r>
          </w:p>
          <w:tbl>
            <w:tblPr>
              <w:tblStyle w:val="13"/>
              <w:tblW w:w="6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9"/>
              <w:gridCol w:w="2085"/>
              <w:gridCol w:w="2355"/>
            </w:tblGrid>
            <w:tr w14:paraId="5C922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299" w:type="dxa"/>
                  <w:tcBorders>
                    <w:top w:val="single" w:color="auto" w:sz="4" w:space="0"/>
                    <w:left w:val="single" w:color="auto" w:sz="4" w:space="0"/>
                    <w:bottom w:val="single" w:color="auto" w:sz="4" w:space="0"/>
                    <w:right w:val="single" w:color="auto" w:sz="4" w:space="0"/>
                  </w:tcBorders>
                </w:tcPr>
                <w:p w14:paraId="63BE29FD">
                  <w:pPr>
                    <w:widowControl/>
                    <w:numPr>
                      <w:ilvl w:val="0"/>
                      <w:numId w:val="0"/>
                    </w:numPr>
                    <w:adjustRightInd w:val="0"/>
                    <w:snapToGrid w:val="0"/>
                    <w:spacing w:line="520" w:lineRule="exact"/>
                    <w:ind w:firstLine="420" w:firstLineChars="200"/>
                    <w:jc w:val="left"/>
                    <w:rPr>
                      <w:rFonts w:hint="eastAsia" w:cs="Arial" w:asciiTheme="majorEastAsia" w:hAnsiTheme="majorEastAsia" w:eastAsiaTheme="majorEastAsia"/>
                      <w:kern w:val="0"/>
                      <w:sz w:val="21"/>
                      <w:szCs w:val="21"/>
                    </w:rPr>
                  </w:pPr>
                  <w:r>
                    <w:rPr>
                      <w:rFonts w:hint="eastAsia" w:cs="Arial" w:asciiTheme="majorEastAsia" w:hAnsiTheme="majorEastAsia" w:eastAsiaTheme="majorEastAsia"/>
                      <w:kern w:val="0"/>
                      <w:sz w:val="21"/>
                      <w:szCs w:val="21"/>
                    </w:rPr>
                    <w:t>中标供应商签收项目资料到完成编制提交采购方复核的完成时限</w:t>
                  </w:r>
                </w:p>
              </w:tc>
              <w:tc>
                <w:tcPr>
                  <w:tcW w:w="2085" w:type="dxa"/>
                  <w:tcBorders>
                    <w:top w:val="single" w:color="auto" w:sz="4" w:space="0"/>
                    <w:left w:val="single" w:color="auto" w:sz="4" w:space="0"/>
                    <w:bottom w:val="single" w:color="auto" w:sz="4" w:space="0"/>
                    <w:right w:val="single" w:color="auto" w:sz="4" w:space="0"/>
                  </w:tcBorders>
                </w:tcPr>
                <w:p w14:paraId="36819FBD">
                  <w:pPr>
                    <w:widowControl/>
                    <w:numPr>
                      <w:ilvl w:val="0"/>
                      <w:numId w:val="0"/>
                    </w:numPr>
                    <w:adjustRightInd w:val="0"/>
                    <w:snapToGrid w:val="0"/>
                    <w:spacing w:line="520" w:lineRule="exact"/>
                    <w:ind w:firstLine="420" w:firstLineChars="200"/>
                    <w:jc w:val="left"/>
                    <w:rPr>
                      <w:rFonts w:hint="eastAsia" w:cs="Arial" w:asciiTheme="majorEastAsia" w:hAnsiTheme="majorEastAsia" w:eastAsiaTheme="majorEastAsia"/>
                      <w:kern w:val="0"/>
                      <w:sz w:val="21"/>
                      <w:szCs w:val="21"/>
                    </w:rPr>
                  </w:pPr>
                  <w:r>
                    <w:rPr>
                      <w:rFonts w:hint="eastAsia" w:cs="Arial" w:asciiTheme="majorEastAsia" w:hAnsiTheme="majorEastAsia" w:eastAsiaTheme="majorEastAsia"/>
                      <w:kern w:val="0"/>
                      <w:sz w:val="21"/>
                      <w:szCs w:val="21"/>
                    </w:rPr>
                    <w:t>中标供应商收到采购方反馈复核意见后修改的完成时限</w:t>
                  </w:r>
                </w:p>
              </w:tc>
              <w:tc>
                <w:tcPr>
                  <w:tcW w:w="2355" w:type="dxa"/>
                  <w:tcBorders>
                    <w:top w:val="single" w:color="auto" w:sz="4" w:space="0"/>
                    <w:left w:val="single" w:color="auto" w:sz="4" w:space="0"/>
                    <w:bottom w:val="single" w:color="auto" w:sz="4" w:space="0"/>
                    <w:right w:val="single" w:color="auto" w:sz="4" w:space="0"/>
                  </w:tcBorders>
                </w:tcPr>
                <w:p w14:paraId="24A06ECD">
                  <w:pPr>
                    <w:widowControl/>
                    <w:numPr>
                      <w:ilvl w:val="0"/>
                      <w:numId w:val="0"/>
                    </w:numPr>
                    <w:adjustRightInd w:val="0"/>
                    <w:snapToGrid w:val="0"/>
                    <w:spacing w:line="520" w:lineRule="exact"/>
                    <w:ind w:firstLine="420" w:firstLineChars="200"/>
                    <w:jc w:val="left"/>
                    <w:rPr>
                      <w:rFonts w:hint="eastAsia" w:cs="Arial" w:asciiTheme="majorEastAsia" w:hAnsiTheme="majorEastAsia" w:eastAsiaTheme="majorEastAsia"/>
                      <w:kern w:val="0"/>
                      <w:sz w:val="21"/>
                      <w:szCs w:val="21"/>
                    </w:rPr>
                  </w:pPr>
                  <w:r>
                    <w:rPr>
                      <w:rFonts w:hint="eastAsia" w:cs="Arial" w:asciiTheme="majorEastAsia" w:hAnsiTheme="majorEastAsia" w:eastAsiaTheme="majorEastAsia"/>
                      <w:kern w:val="0"/>
                      <w:sz w:val="21"/>
                      <w:szCs w:val="21"/>
                    </w:rPr>
                    <w:t>中标供应商提交项目工程量清单和招标控制价编制成果资料的完成时限</w:t>
                  </w:r>
                </w:p>
              </w:tc>
            </w:tr>
            <w:tr w14:paraId="32F99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2299" w:type="dxa"/>
                  <w:tcBorders>
                    <w:top w:val="single" w:color="auto" w:sz="4" w:space="0"/>
                    <w:left w:val="single" w:color="auto" w:sz="4" w:space="0"/>
                    <w:bottom w:val="single" w:color="auto" w:sz="4" w:space="0"/>
                    <w:right w:val="single" w:color="auto" w:sz="4" w:space="0"/>
                  </w:tcBorders>
                  <w:vAlign w:val="center"/>
                </w:tcPr>
                <w:p w14:paraId="1C1DE637">
                  <w:pPr>
                    <w:widowControl/>
                    <w:numPr>
                      <w:ilvl w:val="0"/>
                      <w:numId w:val="0"/>
                    </w:numPr>
                    <w:adjustRightInd w:val="0"/>
                    <w:snapToGrid w:val="0"/>
                    <w:spacing w:line="520" w:lineRule="exact"/>
                    <w:ind w:firstLine="420" w:firstLineChars="200"/>
                    <w:jc w:val="left"/>
                    <w:rPr>
                      <w:rFonts w:hint="eastAsia" w:cs="Arial" w:asciiTheme="majorEastAsia" w:hAnsiTheme="majorEastAsia" w:eastAsiaTheme="majorEastAsia"/>
                      <w:kern w:val="0"/>
                      <w:sz w:val="21"/>
                      <w:szCs w:val="21"/>
                    </w:rPr>
                  </w:pPr>
                  <w:r>
                    <w:rPr>
                      <w:rFonts w:hint="eastAsia" w:cs="Arial" w:asciiTheme="majorEastAsia" w:hAnsiTheme="majorEastAsia" w:eastAsiaTheme="majorEastAsia"/>
                      <w:kern w:val="0"/>
                      <w:sz w:val="21"/>
                      <w:szCs w:val="21"/>
                    </w:rPr>
                    <w:t>7日历天</w:t>
                  </w:r>
                </w:p>
              </w:tc>
              <w:tc>
                <w:tcPr>
                  <w:tcW w:w="2085" w:type="dxa"/>
                  <w:tcBorders>
                    <w:top w:val="single" w:color="auto" w:sz="4" w:space="0"/>
                    <w:left w:val="single" w:color="auto" w:sz="4" w:space="0"/>
                    <w:bottom w:val="single" w:color="auto" w:sz="4" w:space="0"/>
                    <w:right w:val="single" w:color="auto" w:sz="4" w:space="0"/>
                  </w:tcBorders>
                  <w:vAlign w:val="center"/>
                </w:tcPr>
                <w:p w14:paraId="5E214B16">
                  <w:pPr>
                    <w:widowControl/>
                    <w:numPr>
                      <w:ilvl w:val="0"/>
                      <w:numId w:val="0"/>
                    </w:numPr>
                    <w:adjustRightInd w:val="0"/>
                    <w:snapToGrid w:val="0"/>
                    <w:spacing w:line="520" w:lineRule="exact"/>
                    <w:ind w:firstLine="420" w:firstLineChars="200"/>
                    <w:jc w:val="left"/>
                    <w:rPr>
                      <w:rFonts w:hint="eastAsia" w:cs="Arial" w:asciiTheme="majorEastAsia" w:hAnsiTheme="majorEastAsia" w:eastAsiaTheme="majorEastAsia"/>
                      <w:kern w:val="0"/>
                      <w:sz w:val="21"/>
                      <w:szCs w:val="21"/>
                    </w:rPr>
                  </w:pPr>
                  <w:r>
                    <w:rPr>
                      <w:rFonts w:hint="eastAsia" w:cs="Arial" w:asciiTheme="majorEastAsia" w:hAnsiTheme="majorEastAsia" w:eastAsiaTheme="majorEastAsia"/>
                      <w:kern w:val="0"/>
                      <w:sz w:val="21"/>
                      <w:szCs w:val="21"/>
                    </w:rPr>
                    <w:t>3日历天</w:t>
                  </w:r>
                </w:p>
              </w:tc>
              <w:tc>
                <w:tcPr>
                  <w:tcW w:w="2355" w:type="dxa"/>
                  <w:tcBorders>
                    <w:top w:val="single" w:color="auto" w:sz="4" w:space="0"/>
                    <w:left w:val="single" w:color="auto" w:sz="4" w:space="0"/>
                    <w:bottom w:val="single" w:color="auto" w:sz="4" w:space="0"/>
                    <w:right w:val="single" w:color="auto" w:sz="4" w:space="0"/>
                  </w:tcBorders>
                  <w:vAlign w:val="center"/>
                </w:tcPr>
                <w:p w14:paraId="40B6E6D1">
                  <w:pPr>
                    <w:widowControl/>
                    <w:numPr>
                      <w:ilvl w:val="0"/>
                      <w:numId w:val="0"/>
                    </w:numPr>
                    <w:adjustRightInd w:val="0"/>
                    <w:snapToGrid w:val="0"/>
                    <w:spacing w:line="520" w:lineRule="exact"/>
                    <w:ind w:firstLine="420" w:firstLineChars="200"/>
                    <w:jc w:val="left"/>
                    <w:rPr>
                      <w:rFonts w:hint="eastAsia" w:cs="Arial" w:asciiTheme="majorEastAsia" w:hAnsiTheme="majorEastAsia" w:eastAsiaTheme="majorEastAsia"/>
                      <w:kern w:val="0"/>
                      <w:sz w:val="21"/>
                      <w:szCs w:val="21"/>
                    </w:rPr>
                  </w:pPr>
                  <w:r>
                    <w:rPr>
                      <w:rFonts w:hint="eastAsia" w:cs="Arial" w:asciiTheme="majorEastAsia" w:hAnsiTheme="majorEastAsia" w:eastAsiaTheme="majorEastAsia"/>
                      <w:kern w:val="0"/>
                      <w:sz w:val="21"/>
                      <w:szCs w:val="21"/>
                    </w:rPr>
                    <w:t>2日历天</w:t>
                  </w:r>
                </w:p>
              </w:tc>
            </w:tr>
          </w:tbl>
          <w:p w14:paraId="6A488339">
            <w:pPr>
              <w:widowControl/>
              <w:numPr>
                <w:ilvl w:val="0"/>
                <w:numId w:val="0"/>
              </w:numPr>
              <w:adjustRightInd w:val="0"/>
              <w:snapToGrid w:val="0"/>
              <w:spacing w:line="520" w:lineRule="exact"/>
              <w:jc w:val="left"/>
              <w:rPr>
                <w:rFonts w:hint="eastAsia" w:cs="Arial" w:asciiTheme="majorEastAsia" w:hAnsiTheme="majorEastAsia" w:eastAsiaTheme="majorEastAsia"/>
                <w:kern w:val="0"/>
                <w:sz w:val="21"/>
                <w:szCs w:val="21"/>
                <w:lang w:val="en-US" w:eastAsia="zh-CN"/>
              </w:rPr>
            </w:pPr>
            <w:r>
              <w:rPr>
                <w:rFonts w:hint="eastAsia" w:cs="Arial" w:asciiTheme="majorEastAsia" w:hAnsiTheme="majorEastAsia" w:eastAsiaTheme="majorEastAsia"/>
                <w:kern w:val="0"/>
                <w:sz w:val="21"/>
                <w:szCs w:val="21"/>
              </w:rPr>
              <w:t>4.成果资料质量要求：符</w:t>
            </w:r>
            <w:r>
              <w:rPr>
                <w:rFonts w:hint="eastAsia" w:cs="Arial" w:asciiTheme="majorEastAsia" w:hAnsiTheme="majorEastAsia" w:eastAsiaTheme="majorEastAsia"/>
                <w:kern w:val="0"/>
                <w:sz w:val="21"/>
                <w:szCs w:val="21"/>
                <w:lang w:val="en-US" w:eastAsia="zh-CN"/>
              </w:rPr>
              <w:t>合《广西壮族自治区建设工程造价管理办法》桂政府令第 43 号规定的合格标准，并经双方签字认可。纸质资料一式四份并按要求签章确认，同时需提供电子档资料一式两份用U盘或移动硬盘拷贝后交付给采购人，U盘或移动硬盘（必须是带原厂正规包装且原厂质保期不低于三年，接口为USB3.0及以上），否则不予接收。</w:t>
            </w:r>
          </w:p>
          <w:p w14:paraId="5F647548">
            <w:pPr>
              <w:widowControl/>
              <w:numPr>
                <w:ilvl w:val="0"/>
                <w:numId w:val="0"/>
              </w:numPr>
              <w:adjustRightInd w:val="0"/>
              <w:snapToGrid w:val="0"/>
              <w:spacing w:line="520" w:lineRule="exact"/>
              <w:jc w:val="left"/>
              <w:rPr>
                <w:rFonts w:hint="eastAsia" w:cs="Arial" w:asciiTheme="majorEastAsia" w:hAnsiTheme="majorEastAsia" w:eastAsiaTheme="majorEastAsia"/>
                <w:kern w:val="0"/>
                <w:sz w:val="21"/>
                <w:szCs w:val="21"/>
                <w:lang w:val="en-US" w:eastAsia="zh-CN"/>
              </w:rPr>
            </w:pPr>
            <w:r>
              <w:rPr>
                <w:rFonts w:hint="eastAsia" w:cs="Arial" w:asciiTheme="majorEastAsia" w:hAnsiTheme="majorEastAsia" w:eastAsiaTheme="majorEastAsia"/>
                <w:kern w:val="0"/>
                <w:sz w:val="21"/>
                <w:szCs w:val="21"/>
                <w:lang w:val="en-US" w:eastAsia="zh-CN"/>
              </w:rPr>
              <w:t>5.人员配备及其他要求：</w:t>
            </w:r>
          </w:p>
          <w:p w14:paraId="275EFBC5">
            <w:pPr>
              <w:widowControl/>
              <w:numPr>
                <w:ilvl w:val="0"/>
                <w:numId w:val="0"/>
              </w:numPr>
              <w:adjustRightInd w:val="0"/>
              <w:snapToGrid w:val="0"/>
              <w:spacing w:line="520" w:lineRule="exact"/>
              <w:jc w:val="left"/>
              <w:rPr>
                <w:rFonts w:hint="eastAsia" w:cs="Arial" w:asciiTheme="majorEastAsia" w:hAnsiTheme="majorEastAsia" w:eastAsiaTheme="majorEastAsia"/>
                <w:kern w:val="0"/>
                <w:sz w:val="21"/>
                <w:szCs w:val="21"/>
                <w:lang w:val="en-US" w:eastAsia="zh-CN"/>
              </w:rPr>
            </w:pPr>
            <w:r>
              <w:rPr>
                <w:rFonts w:hint="eastAsia" w:cs="Arial" w:asciiTheme="majorEastAsia" w:hAnsiTheme="majorEastAsia" w:eastAsiaTheme="majorEastAsia"/>
                <w:kern w:val="0"/>
                <w:sz w:val="21"/>
                <w:szCs w:val="21"/>
                <w:highlight w:val="none"/>
                <w:lang w:val="en-US" w:eastAsia="zh-CN"/>
              </w:rPr>
              <w:t>（1）</w:t>
            </w:r>
            <w:r>
              <w:rPr>
                <w:rFonts w:hint="eastAsia" w:cs="Arial" w:asciiTheme="majorEastAsia" w:hAnsiTheme="majorEastAsia" w:eastAsiaTheme="majorEastAsia"/>
                <w:kern w:val="0"/>
                <w:sz w:val="21"/>
                <w:szCs w:val="21"/>
                <w:lang w:val="en-US" w:eastAsia="zh-CN"/>
              </w:rPr>
              <w:t>报价单位具备住建部门核发的工程造价咨询乙级及以上资质，且在有效期内。</w:t>
            </w:r>
          </w:p>
          <w:p w14:paraId="24B58B9C">
            <w:pPr>
              <w:widowControl/>
              <w:numPr>
                <w:ilvl w:val="0"/>
                <w:numId w:val="0"/>
              </w:numPr>
              <w:adjustRightInd w:val="0"/>
              <w:snapToGrid w:val="0"/>
              <w:spacing w:line="520" w:lineRule="exact"/>
              <w:jc w:val="left"/>
              <w:rPr>
                <w:rFonts w:hint="eastAsia" w:cs="Arial" w:asciiTheme="majorEastAsia" w:hAnsiTheme="majorEastAsia" w:eastAsiaTheme="majorEastAsia"/>
                <w:kern w:val="0"/>
                <w:sz w:val="21"/>
                <w:szCs w:val="21"/>
                <w:lang w:val="en-US" w:eastAsia="zh-CN"/>
              </w:rPr>
            </w:pPr>
            <w:r>
              <w:rPr>
                <w:rFonts w:hint="eastAsia" w:cs="Arial" w:asciiTheme="majorEastAsia" w:hAnsiTheme="majorEastAsia" w:eastAsiaTheme="majorEastAsia"/>
                <w:kern w:val="0"/>
                <w:sz w:val="21"/>
                <w:szCs w:val="21"/>
                <w:lang w:val="en-US" w:eastAsia="zh-CN"/>
              </w:rPr>
              <w:t>（2）拟投入服务人员</w:t>
            </w:r>
          </w:p>
          <w:p w14:paraId="0466CDE5">
            <w:pPr>
              <w:widowControl/>
              <w:numPr>
                <w:ilvl w:val="0"/>
                <w:numId w:val="0"/>
              </w:numPr>
              <w:adjustRightInd w:val="0"/>
              <w:snapToGrid w:val="0"/>
              <w:spacing w:line="520" w:lineRule="exact"/>
              <w:jc w:val="left"/>
              <w:rPr>
                <w:rFonts w:hint="eastAsia" w:cs="Arial" w:asciiTheme="majorEastAsia" w:hAnsiTheme="majorEastAsia" w:eastAsiaTheme="majorEastAsia"/>
                <w:kern w:val="0"/>
                <w:sz w:val="21"/>
                <w:szCs w:val="21"/>
                <w:lang w:val="en-US" w:eastAsia="zh-CN"/>
              </w:rPr>
            </w:pPr>
            <w:r>
              <w:rPr>
                <w:rFonts w:hint="default" w:ascii="Calibri" w:hAnsi="Calibri" w:cs="Calibri" w:eastAsiaTheme="majorEastAsia"/>
                <w:kern w:val="0"/>
                <w:sz w:val="21"/>
                <w:szCs w:val="21"/>
                <w:lang w:val="en-US" w:eastAsia="zh-CN"/>
              </w:rPr>
              <w:t>①</w:t>
            </w:r>
            <w:r>
              <w:rPr>
                <w:rFonts w:hint="eastAsia" w:cs="Arial" w:asciiTheme="majorEastAsia" w:hAnsiTheme="majorEastAsia" w:eastAsiaTheme="majorEastAsia"/>
                <w:kern w:val="0"/>
                <w:sz w:val="21"/>
                <w:szCs w:val="21"/>
                <w:lang w:val="en-US" w:eastAsia="zh-CN"/>
              </w:rPr>
              <w:t>项目负责人</w:t>
            </w:r>
          </w:p>
          <w:p w14:paraId="2EA08994">
            <w:pPr>
              <w:widowControl/>
              <w:numPr>
                <w:ilvl w:val="0"/>
                <w:numId w:val="0"/>
              </w:numPr>
              <w:adjustRightInd w:val="0"/>
              <w:snapToGrid w:val="0"/>
              <w:spacing w:line="520" w:lineRule="exact"/>
              <w:jc w:val="left"/>
              <w:rPr>
                <w:rFonts w:hint="default" w:ascii="Calibri" w:hAnsi="Calibri" w:cs="Calibri" w:eastAsiaTheme="majorEastAsia"/>
                <w:kern w:val="0"/>
                <w:sz w:val="21"/>
                <w:szCs w:val="21"/>
                <w:lang w:val="en-US" w:eastAsia="zh-CN"/>
              </w:rPr>
            </w:pPr>
            <w:r>
              <w:rPr>
                <w:rFonts w:hint="default" w:ascii="Calibri" w:hAnsi="Calibri" w:cs="Calibri" w:eastAsiaTheme="majorEastAsia"/>
                <w:kern w:val="0"/>
                <w:sz w:val="21"/>
                <w:szCs w:val="21"/>
                <w:lang w:val="en-US" w:eastAsia="zh-CN"/>
              </w:rPr>
              <w:t>本项目负责人须为</w:t>
            </w:r>
            <w:r>
              <w:rPr>
                <w:rFonts w:hint="eastAsia" w:ascii="Calibri" w:hAnsi="Calibri" w:cs="Calibri" w:eastAsiaTheme="majorEastAsia"/>
                <w:kern w:val="0"/>
                <w:sz w:val="21"/>
                <w:szCs w:val="21"/>
                <w:lang w:val="en-US" w:eastAsia="zh-CN"/>
              </w:rPr>
              <w:t>报价</w:t>
            </w:r>
            <w:r>
              <w:rPr>
                <w:rFonts w:hint="default" w:ascii="Calibri" w:hAnsi="Calibri" w:cs="Calibri" w:eastAsiaTheme="majorEastAsia"/>
                <w:kern w:val="0"/>
                <w:sz w:val="21"/>
                <w:szCs w:val="21"/>
                <w:lang w:val="en-US" w:eastAsia="zh-CN"/>
              </w:rPr>
              <w:t>单位在职在册人员，持有一级造价工程师（土木建筑工程专业）注册证书，人证合一，提供近3个月</w:t>
            </w:r>
            <w:r>
              <w:rPr>
                <w:rFonts w:hint="eastAsia" w:ascii="Calibri" w:hAnsi="Calibri" w:cs="Calibri" w:eastAsiaTheme="majorEastAsia"/>
                <w:kern w:val="0"/>
                <w:sz w:val="21"/>
                <w:szCs w:val="21"/>
                <w:lang w:val="en-US" w:eastAsia="zh-CN"/>
              </w:rPr>
              <w:t>连续</w:t>
            </w:r>
            <w:r>
              <w:rPr>
                <w:rFonts w:hint="default" w:ascii="Calibri" w:hAnsi="Calibri" w:cs="Calibri" w:eastAsiaTheme="majorEastAsia"/>
                <w:kern w:val="0"/>
                <w:sz w:val="21"/>
                <w:szCs w:val="21"/>
                <w:lang w:val="en-US" w:eastAsia="zh-CN"/>
              </w:rPr>
              <w:t>社保缴纳证明，无挂靠、外聘情况。</w:t>
            </w:r>
          </w:p>
          <w:p w14:paraId="33533A22">
            <w:pPr>
              <w:widowControl/>
              <w:numPr>
                <w:ilvl w:val="0"/>
                <w:numId w:val="0"/>
              </w:numPr>
              <w:adjustRightInd w:val="0"/>
              <w:snapToGrid w:val="0"/>
              <w:spacing w:line="520" w:lineRule="exact"/>
              <w:jc w:val="left"/>
              <w:rPr>
                <w:rFonts w:hint="eastAsia" w:cs="Arial" w:asciiTheme="majorEastAsia" w:hAnsiTheme="majorEastAsia" w:eastAsiaTheme="majorEastAsia"/>
                <w:kern w:val="0"/>
                <w:sz w:val="21"/>
                <w:szCs w:val="21"/>
                <w:lang w:val="en-US" w:eastAsia="zh-CN"/>
              </w:rPr>
            </w:pPr>
            <w:r>
              <w:rPr>
                <w:rFonts w:hint="default" w:ascii="Calibri" w:hAnsi="Calibri" w:cs="Calibri" w:eastAsiaTheme="majorEastAsia"/>
                <w:kern w:val="0"/>
                <w:sz w:val="21"/>
                <w:szCs w:val="21"/>
                <w:lang w:val="en-US" w:eastAsia="zh-CN"/>
              </w:rPr>
              <w:t>②</w:t>
            </w:r>
            <w:r>
              <w:rPr>
                <w:rFonts w:hint="eastAsia" w:cs="Arial" w:asciiTheme="majorEastAsia" w:hAnsiTheme="majorEastAsia" w:eastAsiaTheme="majorEastAsia"/>
                <w:kern w:val="0"/>
                <w:sz w:val="21"/>
                <w:szCs w:val="21"/>
                <w:lang w:val="en-US" w:eastAsia="zh-CN"/>
              </w:rPr>
              <w:t>团队总人数不少于3人（含负责人）按专业配备人员：至少包含土建、安装（给排水 / 电气 / 暖通）专业注册造价工程师或造价员（提供造价工程师注册证书或造价员证等，提供近3个月社保缴纳证明，无挂靠、外聘情况）。同时须在投标文件中作出书面服务承诺，如零星工程涉及消防、园林、钢构等原团队中没有的专业时，须及时调配相关专业人员进行协作。</w:t>
            </w:r>
          </w:p>
          <w:p w14:paraId="42AD4152">
            <w:pPr>
              <w:widowControl/>
              <w:numPr>
                <w:ilvl w:val="0"/>
                <w:numId w:val="0"/>
              </w:numPr>
              <w:adjustRightInd w:val="0"/>
              <w:snapToGrid w:val="0"/>
              <w:spacing w:line="520" w:lineRule="exact"/>
              <w:jc w:val="left"/>
              <w:rPr>
                <w:rFonts w:hint="eastAsia" w:cs="Arial" w:asciiTheme="majorEastAsia" w:hAnsiTheme="majorEastAsia" w:eastAsiaTheme="majorEastAsia"/>
                <w:kern w:val="0"/>
                <w:sz w:val="21"/>
                <w:szCs w:val="21"/>
                <w:lang w:val="en-US" w:eastAsia="zh-CN"/>
              </w:rPr>
            </w:pPr>
            <w:r>
              <w:rPr>
                <w:rFonts w:hint="eastAsia"/>
                <w:b/>
                <w:bCs/>
                <w:lang w:val="en-US" w:eastAsia="zh-CN"/>
              </w:rPr>
              <w:t>报价时提供以上证书高清复印件并加盖公章，如提供材料不全或未提供则视为报价无效，如因提供材料不清晰导致被误读、漏读或者查找不到相关内容的，由此引发的后果由报价人自行承担。</w:t>
            </w:r>
          </w:p>
          <w:p w14:paraId="1FC9D76C">
            <w:pPr>
              <w:widowControl/>
              <w:numPr>
                <w:ilvl w:val="0"/>
                <w:numId w:val="0"/>
              </w:numPr>
              <w:adjustRightInd w:val="0"/>
              <w:snapToGrid w:val="0"/>
              <w:spacing w:line="520" w:lineRule="exact"/>
              <w:jc w:val="left"/>
              <w:rPr>
                <w:rFonts w:hint="default" w:cs="Arial" w:asciiTheme="majorEastAsia" w:hAnsiTheme="majorEastAsia" w:eastAsiaTheme="majorEastAsia"/>
                <w:kern w:val="0"/>
                <w:sz w:val="21"/>
                <w:szCs w:val="21"/>
                <w:lang w:val="en-US" w:eastAsia="zh-CN"/>
              </w:rPr>
            </w:pPr>
            <w:r>
              <w:rPr>
                <w:rFonts w:hint="eastAsia" w:cs="Arial" w:asciiTheme="majorEastAsia" w:hAnsiTheme="majorEastAsia" w:eastAsiaTheme="majorEastAsia"/>
                <w:kern w:val="0"/>
                <w:sz w:val="21"/>
                <w:szCs w:val="21"/>
                <w:lang w:val="en-US" w:eastAsia="zh-CN"/>
              </w:rPr>
              <w:t>（3）</w:t>
            </w:r>
            <w:r>
              <w:rPr>
                <w:rFonts w:hint="default" w:cs="Arial" w:asciiTheme="majorEastAsia" w:hAnsiTheme="majorEastAsia" w:eastAsiaTheme="majorEastAsia"/>
                <w:kern w:val="0"/>
                <w:sz w:val="21"/>
                <w:szCs w:val="21"/>
                <w:lang w:val="en-US" w:eastAsia="zh-CN"/>
              </w:rPr>
              <w:t>服务响应保障要求</w:t>
            </w:r>
          </w:p>
          <w:p w14:paraId="40779293">
            <w:pPr>
              <w:widowControl/>
              <w:numPr>
                <w:ilvl w:val="0"/>
                <w:numId w:val="0"/>
              </w:numPr>
              <w:adjustRightInd w:val="0"/>
              <w:snapToGrid w:val="0"/>
              <w:spacing w:line="520" w:lineRule="exact"/>
              <w:jc w:val="left"/>
              <w:rPr>
                <w:rFonts w:hint="default" w:cs="Arial" w:asciiTheme="majorEastAsia" w:hAnsiTheme="majorEastAsia" w:eastAsiaTheme="majorEastAsia"/>
                <w:kern w:val="0"/>
                <w:sz w:val="21"/>
                <w:szCs w:val="21"/>
                <w:lang w:val="en-US" w:eastAsia="zh-CN"/>
              </w:rPr>
            </w:pPr>
            <w:r>
              <w:rPr>
                <w:rFonts w:hint="default" w:cs="Arial" w:asciiTheme="majorEastAsia" w:hAnsiTheme="majorEastAsia" w:eastAsiaTheme="majorEastAsia"/>
                <w:kern w:val="0"/>
                <w:sz w:val="21"/>
                <w:szCs w:val="21"/>
                <w:lang w:val="en-US" w:eastAsia="zh-CN"/>
              </w:rPr>
              <w:t xml:space="preserve">   为保障零星工程时效性、现场核量准确性，</w:t>
            </w:r>
            <w:r>
              <w:rPr>
                <w:rFonts w:hint="eastAsia" w:cs="Arial" w:asciiTheme="majorEastAsia" w:hAnsiTheme="majorEastAsia" w:eastAsiaTheme="majorEastAsia"/>
                <w:kern w:val="0"/>
                <w:sz w:val="21"/>
                <w:szCs w:val="21"/>
                <w:lang w:val="en-US" w:eastAsia="zh-CN"/>
              </w:rPr>
              <w:t>报价</w:t>
            </w:r>
            <w:r>
              <w:rPr>
                <w:rFonts w:hint="default" w:cs="Arial" w:asciiTheme="majorEastAsia" w:hAnsiTheme="majorEastAsia" w:eastAsiaTheme="majorEastAsia"/>
                <w:kern w:val="0"/>
                <w:sz w:val="21"/>
                <w:szCs w:val="21"/>
                <w:lang w:val="en-US" w:eastAsia="zh-CN"/>
              </w:rPr>
              <w:t>人须在</w:t>
            </w:r>
            <w:r>
              <w:rPr>
                <w:rFonts w:hint="eastAsia" w:cs="Arial" w:asciiTheme="majorEastAsia" w:hAnsiTheme="majorEastAsia" w:eastAsiaTheme="majorEastAsia"/>
                <w:kern w:val="0"/>
                <w:sz w:val="21"/>
                <w:szCs w:val="21"/>
                <w:lang w:val="en-US" w:eastAsia="zh-CN"/>
              </w:rPr>
              <w:t>报价</w:t>
            </w:r>
            <w:r>
              <w:rPr>
                <w:rFonts w:hint="default" w:cs="Arial" w:asciiTheme="majorEastAsia" w:hAnsiTheme="majorEastAsia" w:eastAsiaTheme="majorEastAsia"/>
                <w:kern w:val="0"/>
                <w:sz w:val="21"/>
                <w:szCs w:val="21"/>
                <w:lang w:val="en-US" w:eastAsia="zh-CN"/>
              </w:rPr>
              <w:t>文件中作出书面服务承诺，满足以下响应要求</w:t>
            </w:r>
          </w:p>
          <w:p w14:paraId="302F85AA">
            <w:pPr>
              <w:widowControl/>
              <w:numPr>
                <w:ilvl w:val="0"/>
                <w:numId w:val="0"/>
              </w:numPr>
              <w:adjustRightInd w:val="0"/>
              <w:snapToGrid w:val="0"/>
              <w:spacing w:line="520" w:lineRule="exact"/>
              <w:jc w:val="left"/>
              <w:rPr>
                <w:rFonts w:hint="default" w:cs="Arial" w:asciiTheme="majorEastAsia" w:hAnsiTheme="majorEastAsia" w:eastAsiaTheme="majorEastAsia"/>
                <w:kern w:val="0"/>
                <w:sz w:val="21"/>
                <w:szCs w:val="21"/>
                <w:lang w:val="en-US" w:eastAsia="zh-CN"/>
              </w:rPr>
            </w:pPr>
            <w:r>
              <w:rPr>
                <w:rFonts w:hint="default" w:ascii="Calibri" w:hAnsi="Calibri" w:cs="Calibri" w:eastAsiaTheme="majorEastAsia"/>
                <w:kern w:val="0"/>
                <w:sz w:val="21"/>
                <w:szCs w:val="21"/>
                <w:lang w:val="en-US" w:eastAsia="zh-CN"/>
              </w:rPr>
              <w:t>①</w:t>
            </w:r>
            <w:r>
              <w:rPr>
                <w:rFonts w:hint="eastAsia" w:cs="Arial" w:asciiTheme="majorEastAsia" w:hAnsiTheme="majorEastAsia" w:eastAsiaTheme="majorEastAsia"/>
                <w:kern w:val="0"/>
                <w:sz w:val="21"/>
                <w:szCs w:val="21"/>
                <w:lang w:val="en-US" w:eastAsia="zh-CN"/>
              </w:rPr>
              <w:t>接到</w:t>
            </w:r>
            <w:r>
              <w:rPr>
                <w:rFonts w:hint="default" w:cs="Arial" w:asciiTheme="majorEastAsia" w:hAnsiTheme="majorEastAsia" w:eastAsiaTheme="majorEastAsia"/>
                <w:kern w:val="0"/>
                <w:sz w:val="21"/>
                <w:szCs w:val="21"/>
                <w:lang w:val="en-US" w:eastAsia="zh-CN"/>
              </w:rPr>
              <w:t>采购人服务委托指令后，2小时内完成线上响应对接，明确工作安排及到场人员；</w:t>
            </w:r>
          </w:p>
          <w:p w14:paraId="31EB0A65">
            <w:pPr>
              <w:widowControl/>
              <w:numPr>
                <w:ilvl w:val="0"/>
                <w:numId w:val="0"/>
              </w:numPr>
              <w:adjustRightInd w:val="0"/>
              <w:snapToGrid w:val="0"/>
              <w:spacing w:line="520" w:lineRule="exact"/>
              <w:jc w:val="left"/>
              <w:rPr>
                <w:rFonts w:hint="default" w:cs="Arial" w:asciiTheme="majorEastAsia" w:hAnsiTheme="majorEastAsia" w:eastAsiaTheme="majorEastAsia"/>
                <w:kern w:val="0"/>
                <w:sz w:val="21"/>
                <w:szCs w:val="21"/>
                <w:lang w:val="en-US" w:eastAsia="zh-CN"/>
              </w:rPr>
            </w:pPr>
            <w:r>
              <w:rPr>
                <w:rFonts w:hint="default" w:ascii="Calibri" w:hAnsi="Calibri" w:cs="Calibri" w:eastAsiaTheme="majorEastAsia"/>
                <w:kern w:val="0"/>
                <w:sz w:val="21"/>
                <w:szCs w:val="21"/>
                <w:lang w:val="en-US" w:eastAsia="zh-CN"/>
              </w:rPr>
              <w:t>②</w:t>
            </w:r>
            <w:r>
              <w:rPr>
                <w:rFonts w:hint="default" w:cs="Arial" w:asciiTheme="majorEastAsia" w:hAnsiTheme="majorEastAsia" w:eastAsiaTheme="majorEastAsia"/>
                <w:kern w:val="0"/>
                <w:sz w:val="21"/>
                <w:szCs w:val="21"/>
                <w:lang w:val="en-US" w:eastAsia="zh-CN"/>
              </w:rPr>
              <w:t>常规零星项目4小时内安排持证造价人员抵达柳州项目现场，完成实地踏勘、现场核量、尺寸复核、工况确认，严禁仅凭图纸、资料闭门编制成果；</w:t>
            </w:r>
          </w:p>
          <w:p w14:paraId="427E5233">
            <w:pPr>
              <w:widowControl/>
              <w:numPr>
                <w:ilvl w:val="0"/>
                <w:numId w:val="0"/>
              </w:numPr>
              <w:adjustRightInd w:val="0"/>
              <w:snapToGrid w:val="0"/>
              <w:spacing w:line="520" w:lineRule="exact"/>
              <w:jc w:val="left"/>
              <w:rPr>
                <w:rFonts w:hint="eastAsia"/>
              </w:rPr>
            </w:pPr>
            <w:r>
              <w:rPr>
                <w:rFonts w:hint="eastAsia" w:cs="Arial" w:asciiTheme="majorEastAsia" w:hAnsiTheme="majorEastAsia" w:eastAsiaTheme="majorEastAsia"/>
                <w:kern w:val="0"/>
                <w:sz w:val="21"/>
                <w:szCs w:val="21"/>
                <w:lang w:val="en-US" w:eastAsia="zh-CN"/>
              </w:rPr>
              <w:t>(4）</w:t>
            </w:r>
            <w:r>
              <w:rPr>
                <w:rFonts w:hint="eastAsia"/>
              </w:rPr>
              <w:t>如</w:t>
            </w:r>
            <w:r>
              <w:rPr>
                <w:rFonts w:hint="eastAsia"/>
                <w:lang w:val="en-US" w:eastAsia="zh-CN"/>
              </w:rPr>
              <w:t>报价人</w:t>
            </w:r>
            <w:r>
              <w:rPr>
                <w:rFonts w:hint="eastAsia"/>
              </w:rPr>
              <w:t>更换工作人员需提前一周通知</w:t>
            </w:r>
            <w:r>
              <w:rPr>
                <w:rFonts w:hint="eastAsia"/>
                <w:lang w:val="en-US" w:eastAsia="zh-CN"/>
              </w:rPr>
              <w:t>采购</w:t>
            </w:r>
            <w:r>
              <w:rPr>
                <w:rFonts w:hint="eastAsia"/>
              </w:rPr>
              <w:t>人，并出具书面报告（附变更人员身份证复印件及联系电话）加盖单位公章；</w:t>
            </w:r>
          </w:p>
          <w:p w14:paraId="1D879A00">
            <w:pPr>
              <w:widowControl/>
              <w:jc w:val="center"/>
              <w:rPr>
                <w:rFonts w:hint="eastAsia" w:ascii="宋体" w:hAnsi="宋体" w:cs="宋体"/>
                <w:b w:val="0"/>
                <w:bCs w:val="0"/>
                <w:color w:val="000000"/>
                <w:kern w:val="0"/>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14:paraId="49F53883">
            <w:pPr>
              <w:widowControl/>
              <w:jc w:val="center"/>
              <w:rPr>
                <w:rFonts w:hint="eastAsia" w:ascii="宋体" w:hAnsi="宋体" w:cs="宋体" w:eastAsiaTheme="minorEastAsia"/>
                <w:b w:val="0"/>
                <w:bCs w:val="0"/>
                <w:color w:val="000000"/>
                <w:kern w:val="0"/>
                <w:sz w:val="22"/>
                <w:szCs w:val="22"/>
                <w:lang w:val="en-US" w:eastAsia="zh-CN"/>
              </w:rPr>
            </w:pPr>
          </w:p>
        </w:tc>
        <w:tc>
          <w:tcPr>
            <w:tcW w:w="850" w:type="dxa"/>
            <w:tcBorders>
              <w:top w:val="single" w:color="auto" w:sz="4" w:space="0"/>
              <w:left w:val="single" w:color="auto" w:sz="4" w:space="0"/>
              <w:bottom w:val="single" w:color="auto" w:sz="4" w:space="0"/>
              <w:right w:val="single" w:color="auto" w:sz="4" w:space="0"/>
            </w:tcBorders>
            <w:vAlign w:val="center"/>
          </w:tcPr>
          <w:p w14:paraId="184CD4FC">
            <w:pPr>
              <w:widowControl/>
              <w:jc w:val="center"/>
              <w:rPr>
                <w:rFonts w:hint="eastAsia" w:ascii="宋体" w:hAnsi="宋体" w:cs="宋体" w:eastAsiaTheme="minorEastAsia"/>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1</w:t>
            </w:r>
          </w:p>
        </w:tc>
      </w:tr>
      <w:tr w14:paraId="5C71D1ED">
        <w:tblPrEx>
          <w:tblCellMar>
            <w:top w:w="0" w:type="dxa"/>
            <w:left w:w="108" w:type="dxa"/>
            <w:bottom w:w="0" w:type="dxa"/>
            <w:right w:w="108" w:type="dxa"/>
          </w:tblCellMar>
        </w:tblPrEx>
        <w:trPr>
          <w:trHeight w:val="972" w:hRule="atLeast"/>
        </w:trPr>
        <w:tc>
          <w:tcPr>
            <w:tcW w:w="1404" w:type="dxa"/>
            <w:gridSpan w:val="2"/>
            <w:tcBorders>
              <w:top w:val="nil"/>
              <w:left w:val="single" w:color="auto" w:sz="4" w:space="0"/>
              <w:bottom w:val="single" w:color="auto" w:sz="4" w:space="0"/>
              <w:right w:val="single" w:color="auto" w:sz="4" w:space="0"/>
            </w:tcBorders>
          </w:tcPr>
          <w:p w14:paraId="6D2E65CC">
            <w:pPr>
              <w:widowControl/>
              <w:rPr>
                <w:szCs w:val="21"/>
              </w:rPr>
            </w:pPr>
            <w:r>
              <w:rPr>
                <w:szCs w:val="21"/>
              </w:rPr>
              <w:t>商务要求</w:t>
            </w:r>
          </w:p>
        </w:tc>
        <w:tc>
          <w:tcPr>
            <w:tcW w:w="8343" w:type="dxa"/>
            <w:gridSpan w:val="3"/>
            <w:tcBorders>
              <w:top w:val="nil"/>
              <w:left w:val="nil"/>
              <w:bottom w:val="single" w:color="auto" w:sz="4" w:space="0"/>
              <w:right w:val="single" w:color="auto" w:sz="4" w:space="0"/>
            </w:tcBorders>
            <w:vAlign w:val="top"/>
          </w:tcPr>
          <w:p w14:paraId="3B4861EB">
            <w:pPr>
              <w:numPr>
                <w:ilvl w:val="0"/>
                <w:numId w:val="3"/>
              </w:numPr>
              <w:spacing w:line="360" w:lineRule="auto"/>
              <w:jc w:val="left"/>
              <w:rPr>
                <w:rFonts w:cs="Times New Roman"/>
                <w:strike w:val="0"/>
                <w:dstrike w:val="0"/>
                <w:color w:val="auto"/>
                <w:sz w:val="21"/>
                <w:szCs w:val="21"/>
              </w:rPr>
            </w:pPr>
            <w:r>
              <w:rPr>
                <w:rFonts w:hint="eastAsia" w:cs="Times New Roman"/>
                <w:b w:val="0"/>
                <w:bCs w:val="0"/>
                <w:strike w:val="0"/>
                <w:dstrike w:val="0"/>
                <w:sz w:val="21"/>
                <w:szCs w:val="21"/>
              </w:rPr>
              <w:t>服务交付时间：</w:t>
            </w:r>
            <w:r>
              <w:rPr>
                <w:rFonts w:hint="eastAsia" w:cs="Times New Roman"/>
                <w:strike w:val="0"/>
                <w:dstrike w:val="0"/>
                <w:sz w:val="21"/>
                <w:szCs w:val="21"/>
              </w:rPr>
              <w:t>签订合同</w:t>
            </w:r>
            <w:r>
              <w:rPr>
                <w:rFonts w:hint="eastAsia" w:cs="Times New Roman"/>
                <w:strike w:val="0"/>
                <w:dstrike w:val="0"/>
                <w:color w:val="auto"/>
                <w:sz w:val="21"/>
                <w:szCs w:val="21"/>
              </w:rPr>
              <w:t>之日起</w:t>
            </w:r>
            <w:r>
              <w:rPr>
                <w:rFonts w:hint="eastAsia" w:cs="Times New Roman"/>
                <w:b/>
                <w:bCs/>
                <w:strike w:val="0"/>
                <w:dstrike w:val="0"/>
                <w:color w:val="auto"/>
                <w:sz w:val="21"/>
                <w:szCs w:val="21"/>
                <w:u w:val="single"/>
                <w:lang w:val="en-US" w:eastAsia="zh-CN"/>
              </w:rPr>
              <w:t>立即启动服务</w:t>
            </w:r>
            <w:r>
              <w:rPr>
                <w:rFonts w:hint="eastAsia" w:cs="Times New Roman"/>
                <w:strike w:val="0"/>
                <w:dstrike w:val="0"/>
                <w:color w:val="auto"/>
                <w:sz w:val="21"/>
                <w:szCs w:val="21"/>
              </w:rPr>
              <w:t>。</w:t>
            </w:r>
          </w:p>
          <w:p w14:paraId="55147B24">
            <w:pPr>
              <w:numPr>
                <w:ilvl w:val="0"/>
                <w:numId w:val="0"/>
              </w:numPr>
              <w:spacing w:line="360" w:lineRule="auto"/>
              <w:jc w:val="left"/>
              <w:rPr>
                <w:rFonts w:hint="eastAsia"/>
                <w:lang w:val="en-US" w:eastAsia="zh-CN"/>
              </w:rPr>
            </w:pPr>
            <w:r>
              <w:rPr>
                <w:rFonts w:hint="eastAsia"/>
                <w:lang w:val="en-US" w:eastAsia="zh-CN"/>
              </w:rPr>
              <w:t>服务期：自合同签订之日起一年（或结算金额达到上限4万元自动终止）</w:t>
            </w:r>
          </w:p>
          <w:p w14:paraId="68975E83">
            <w:pPr>
              <w:pStyle w:val="6"/>
              <w:rPr>
                <w:rFonts w:hint="eastAsia" w:cs="Times New Roman" w:eastAsiaTheme="minorEastAsia"/>
                <w:b w:val="0"/>
                <w:bCs w:val="0"/>
                <w:strike w:val="0"/>
                <w:dstrike w:val="0"/>
                <w:color w:val="auto"/>
                <w:sz w:val="21"/>
                <w:szCs w:val="21"/>
                <w:lang w:val="en-US" w:eastAsia="zh-CN"/>
              </w:rPr>
            </w:pPr>
            <w:r>
              <w:rPr>
                <w:rFonts w:hint="eastAsia" w:cs="Times New Roman"/>
                <w:b w:val="0"/>
                <w:bCs w:val="0"/>
                <w:color w:val="auto"/>
                <w:sz w:val="21"/>
                <w:szCs w:val="21"/>
              </w:rPr>
              <w:t>2.</w:t>
            </w:r>
            <w:r>
              <w:rPr>
                <w:rFonts w:hint="eastAsia" w:cs="Times New Roman"/>
                <w:b w:val="0"/>
                <w:bCs w:val="0"/>
                <w:strike w:val="0"/>
                <w:dstrike w:val="0"/>
                <w:color w:val="auto"/>
                <w:sz w:val="21"/>
                <w:szCs w:val="21"/>
              </w:rPr>
              <w:t>技术支持和服务</w:t>
            </w:r>
            <w:r>
              <w:rPr>
                <w:rFonts w:hint="eastAsia" w:cs="Times New Roman"/>
                <w:b w:val="0"/>
                <w:bCs w:val="0"/>
                <w:strike w:val="0"/>
                <w:dstrike w:val="0"/>
                <w:color w:val="auto"/>
                <w:sz w:val="21"/>
                <w:szCs w:val="21"/>
                <w:lang w:val="en-US" w:eastAsia="zh-CN"/>
              </w:rPr>
              <w:t>要求</w:t>
            </w:r>
          </w:p>
          <w:p w14:paraId="58B310B5">
            <w:pPr>
              <w:snapToGrid w:val="0"/>
              <w:spacing w:line="276" w:lineRule="auto"/>
              <w:rPr>
                <w:rFonts w:ascii="宋体" w:hAnsi="宋体"/>
                <w:strike w:val="0"/>
                <w:dstrike w:val="0"/>
                <w:color w:val="auto"/>
                <w:kern w:val="0"/>
                <w:szCs w:val="22"/>
              </w:rPr>
            </w:pPr>
            <w:r>
              <w:rPr>
                <w:rFonts w:hint="eastAsia" w:ascii="宋体" w:hAnsi="宋体"/>
                <w:strike w:val="0"/>
                <w:dstrike w:val="0"/>
                <w:color w:val="auto"/>
                <w:kern w:val="0"/>
                <w:szCs w:val="22"/>
                <w:lang w:val="en-US" w:eastAsia="zh-CN"/>
              </w:rPr>
              <w:t>（1）本</w:t>
            </w:r>
            <w:r>
              <w:rPr>
                <w:rFonts w:ascii="宋体" w:hAnsi="宋体"/>
                <w:strike w:val="0"/>
                <w:dstrike w:val="0"/>
                <w:color w:val="auto"/>
                <w:kern w:val="0"/>
                <w:szCs w:val="22"/>
              </w:rPr>
              <w:t>项目所提供的全部货物（含硬件、软件及服务）必须完全满足</w:t>
            </w:r>
            <w:r>
              <w:rPr>
                <w:rFonts w:hint="eastAsia" w:ascii="宋体" w:hAnsi="宋体"/>
                <w:strike w:val="0"/>
                <w:dstrike w:val="0"/>
                <w:color w:val="auto"/>
                <w:kern w:val="0"/>
                <w:szCs w:val="22"/>
                <w:lang w:val="en-US" w:eastAsia="zh-CN"/>
              </w:rPr>
              <w:t>报价</w:t>
            </w:r>
            <w:r>
              <w:rPr>
                <w:rFonts w:ascii="宋体" w:hAnsi="宋体"/>
                <w:strike w:val="0"/>
                <w:dstrike w:val="0"/>
                <w:color w:val="auto"/>
                <w:kern w:val="0"/>
                <w:szCs w:val="22"/>
              </w:rPr>
              <w:t>文件所述要求，如中标</w:t>
            </w:r>
            <w:r>
              <w:rPr>
                <w:rFonts w:hint="eastAsia" w:ascii="宋体" w:hAnsi="宋体"/>
                <w:strike w:val="0"/>
                <w:dstrike w:val="0"/>
                <w:color w:val="auto"/>
                <w:kern w:val="0"/>
                <w:szCs w:val="22"/>
                <w:lang w:eastAsia="zh-CN"/>
              </w:rPr>
              <w:t>报价人</w:t>
            </w:r>
            <w:r>
              <w:rPr>
                <w:rFonts w:ascii="宋体" w:hAnsi="宋体"/>
                <w:strike w:val="0"/>
                <w:dstrike w:val="0"/>
                <w:color w:val="auto"/>
                <w:kern w:val="0"/>
                <w:szCs w:val="22"/>
              </w:rPr>
              <w:t>在</w:t>
            </w:r>
            <w:r>
              <w:rPr>
                <w:rFonts w:hint="eastAsia" w:ascii="宋体" w:hAnsi="宋体"/>
                <w:strike w:val="0"/>
                <w:dstrike w:val="0"/>
                <w:color w:val="auto"/>
                <w:kern w:val="0"/>
                <w:szCs w:val="22"/>
                <w:lang w:eastAsia="zh-CN"/>
              </w:rPr>
              <w:t>报价</w:t>
            </w:r>
            <w:r>
              <w:rPr>
                <w:rFonts w:ascii="宋体" w:hAnsi="宋体"/>
                <w:strike w:val="0"/>
                <w:dstrike w:val="0"/>
                <w:color w:val="auto"/>
                <w:kern w:val="0"/>
                <w:szCs w:val="22"/>
              </w:rPr>
              <w:t>文件中有承诺正偏离的应按其正偏离内容执行。</w:t>
            </w:r>
          </w:p>
          <w:p w14:paraId="0BCB99B4">
            <w:pPr>
              <w:pStyle w:val="6"/>
              <w:rPr>
                <w:rFonts w:hint="default" w:cs="Times New Roman"/>
                <w:strike w:val="0"/>
                <w:dstrike w:val="0"/>
                <w:color w:val="auto"/>
                <w:sz w:val="21"/>
                <w:szCs w:val="21"/>
                <w:lang w:val="en-US" w:eastAsia="zh-CN"/>
              </w:rPr>
            </w:pPr>
            <w:r>
              <w:rPr>
                <w:rFonts w:hint="eastAsia" w:cs="Times New Roman"/>
                <w:strike w:val="0"/>
                <w:dstrike w:val="0"/>
                <w:color w:val="auto"/>
                <w:sz w:val="21"/>
                <w:szCs w:val="21"/>
                <w:lang w:val="en-US" w:eastAsia="zh-CN"/>
              </w:rPr>
              <w:t>3.知识产权及保密要求</w:t>
            </w:r>
          </w:p>
          <w:p w14:paraId="64147455">
            <w:pPr>
              <w:keepNext w:val="0"/>
              <w:keepLines w:val="0"/>
              <w:widowControl/>
              <w:suppressLineNumbers w:val="0"/>
              <w:jc w:val="left"/>
              <w:rPr>
                <w:rFonts w:hint="eastAsia" w:cs="Times New Roman" w:asciiTheme="minorHAnsi" w:hAnsiTheme="minorHAnsi" w:eastAsiaTheme="minorEastAsia"/>
                <w:strike w:val="0"/>
                <w:dstrike w:val="0"/>
                <w:color w:val="auto"/>
                <w:kern w:val="2"/>
                <w:sz w:val="21"/>
                <w:szCs w:val="21"/>
                <w:lang w:val="en-US" w:eastAsia="zh-CN" w:bidi="ar-SA"/>
              </w:rPr>
            </w:pPr>
            <w:r>
              <w:rPr>
                <w:rFonts w:hint="eastAsia" w:ascii="宋体" w:hAnsi="宋体" w:eastAsia="宋体" w:cs="宋体"/>
                <w:kern w:val="0"/>
                <w:sz w:val="24"/>
                <w:szCs w:val="24"/>
                <w:lang w:val="en-US" w:eastAsia="zh-CN" w:bidi="ar"/>
              </w:rPr>
              <w:t>（</w:t>
            </w:r>
            <w:r>
              <w:rPr>
                <w:rFonts w:hint="eastAsia" w:cs="Times New Roman" w:asciiTheme="minorHAnsi" w:hAnsiTheme="minorHAnsi" w:eastAsiaTheme="minorEastAsia"/>
                <w:strike w:val="0"/>
                <w:dstrike w:val="0"/>
                <w:color w:val="auto"/>
                <w:kern w:val="2"/>
                <w:sz w:val="21"/>
                <w:szCs w:val="21"/>
                <w:lang w:val="en-US" w:eastAsia="zh-CN" w:bidi="ar-SA"/>
              </w:rPr>
              <w:t>1）报价人对项目图纸、工程量、控制价、造价数据等涉密资料承担永久保密责任，不得外泄、挪作他用，所有造价成果知识产权归采购人所有；</w:t>
            </w:r>
          </w:p>
          <w:p w14:paraId="49A25086">
            <w:pPr>
              <w:pStyle w:val="6"/>
              <w:rPr>
                <w:rFonts w:hint="eastAsia" w:cs="Times New Roman" w:asciiTheme="minorHAnsi" w:hAnsiTheme="minorHAnsi" w:eastAsiaTheme="minorEastAsia"/>
                <w:strike w:val="0"/>
                <w:dstrike w:val="0"/>
                <w:color w:val="auto"/>
                <w:kern w:val="2"/>
                <w:sz w:val="21"/>
                <w:szCs w:val="21"/>
                <w:lang w:val="en-US" w:eastAsia="zh-CN" w:bidi="ar-SA"/>
              </w:rPr>
            </w:pPr>
            <w:r>
              <w:rPr>
                <w:rFonts w:hint="eastAsia" w:cs="Times New Roman" w:asciiTheme="minorHAnsi" w:hAnsiTheme="minorHAnsi" w:eastAsiaTheme="minorEastAsia"/>
                <w:strike w:val="0"/>
                <w:dstrike w:val="0"/>
                <w:color w:val="auto"/>
                <w:kern w:val="2"/>
                <w:sz w:val="21"/>
                <w:szCs w:val="21"/>
                <w:lang w:val="en-US" w:eastAsia="zh-CN" w:bidi="ar-SA"/>
              </w:rPr>
              <w:t>（2）报价人因未经授权而实施的商业性复制行为构成违约或侵权责任造成采购人损失的，由其</w:t>
            </w:r>
            <w:r>
              <w:rPr>
                <w:rFonts w:hint="eastAsia" w:cs="Times New Roman"/>
                <w:strike w:val="0"/>
                <w:dstrike w:val="0"/>
                <w:color w:val="auto"/>
                <w:kern w:val="2"/>
                <w:sz w:val="21"/>
                <w:szCs w:val="21"/>
                <w:lang w:val="en-US" w:eastAsia="zh-CN" w:bidi="ar-SA"/>
              </w:rPr>
              <w:t>承担</w:t>
            </w:r>
            <w:r>
              <w:rPr>
                <w:rFonts w:hint="eastAsia" w:cs="Times New Roman" w:asciiTheme="minorHAnsi" w:hAnsiTheme="minorHAnsi" w:eastAsiaTheme="minorEastAsia"/>
                <w:strike w:val="0"/>
                <w:dstrike w:val="0"/>
                <w:color w:val="auto"/>
                <w:kern w:val="2"/>
                <w:sz w:val="21"/>
                <w:szCs w:val="21"/>
                <w:lang w:val="en-US" w:eastAsia="zh-CN" w:bidi="ar-SA"/>
              </w:rPr>
              <w:t>相关责任并赔偿采购人经济损失。</w:t>
            </w:r>
          </w:p>
          <w:p w14:paraId="05D27491">
            <w:pPr>
              <w:widowControl/>
              <w:numPr>
                <w:ilvl w:val="0"/>
                <w:numId w:val="0"/>
              </w:numPr>
              <w:adjustRightInd w:val="0"/>
              <w:snapToGrid w:val="0"/>
              <w:spacing w:line="360" w:lineRule="auto"/>
              <w:jc w:val="left"/>
              <w:rPr>
                <w:rFonts w:hint="default" w:ascii="Arial" w:hAnsi="Arial" w:eastAsia="宋体" w:cs="Arial"/>
                <w:b w:val="0"/>
                <w:bCs w:val="0"/>
                <w:strike w:val="0"/>
                <w:dstrike w:val="0"/>
                <w:color w:val="auto"/>
                <w:kern w:val="0"/>
                <w:sz w:val="21"/>
                <w:szCs w:val="21"/>
                <w:lang w:val="en-US" w:eastAsia="zh-CN"/>
              </w:rPr>
            </w:pPr>
            <w:r>
              <w:rPr>
                <w:rFonts w:hint="eastAsia" w:ascii="Arial" w:hAnsi="Arial" w:eastAsia="宋体" w:cs="Arial"/>
                <w:b w:val="0"/>
                <w:bCs w:val="0"/>
                <w:color w:val="auto"/>
                <w:kern w:val="0"/>
                <w:sz w:val="21"/>
                <w:szCs w:val="21"/>
                <w:lang w:val="en-US" w:eastAsia="zh-CN"/>
              </w:rPr>
              <w:t>4</w:t>
            </w:r>
            <w:r>
              <w:rPr>
                <w:rFonts w:hint="eastAsia" w:ascii="Arial" w:hAnsi="Arial" w:eastAsia="宋体" w:cs="Arial"/>
                <w:b w:val="0"/>
                <w:bCs w:val="0"/>
                <w:strike w:val="0"/>
                <w:dstrike w:val="0"/>
                <w:color w:val="auto"/>
                <w:kern w:val="0"/>
                <w:sz w:val="21"/>
                <w:szCs w:val="21"/>
                <w:lang w:val="en-US" w:eastAsia="zh-CN"/>
              </w:rPr>
              <w:t>.费用结算</w:t>
            </w:r>
          </w:p>
          <w:p w14:paraId="15E7A0FB">
            <w:pPr>
              <w:widowControl/>
              <w:numPr>
                <w:ilvl w:val="0"/>
                <w:numId w:val="0"/>
              </w:numPr>
              <w:adjustRightInd w:val="0"/>
              <w:snapToGrid w:val="0"/>
              <w:spacing w:line="360" w:lineRule="auto"/>
              <w:jc w:val="left"/>
              <w:rPr>
                <w:rFonts w:hint="eastAsia" w:ascii="Arial" w:hAnsi="Arial" w:eastAsia="宋体" w:cs="Arial"/>
                <w:b w:val="0"/>
                <w:bCs w:val="0"/>
                <w:strike w:val="0"/>
                <w:dstrike w:val="0"/>
                <w:color w:val="auto"/>
                <w:kern w:val="0"/>
                <w:sz w:val="21"/>
                <w:szCs w:val="21"/>
              </w:rPr>
            </w:pPr>
            <w:r>
              <w:rPr>
                <w:rFonts w:hint="eastAsia" w:ascii="Arial" w:hAnsi="Arial" w:eastAsia="宋体" w:cs="Arial"/>
                <w:b w:val="0"/>
                <w:bCs w:val="0"/>
                <w:strike w:val="0"/>
                <w:dstrike w:val="0"/>
                <w:color w:val="auto"/>
                <w:kern w:val="0"/>
                <w:sz w:val="21"/>
                <w:szCs w:val="21"/>
              </w:rPr>
              <w:t>①计费方式</w:t>
            </w:r>
          </w:p>
          <w:p w14:paraId="35D6AB0B">
            <w:pPr>
              <w:widowControl/>
              <w:numPr>
                <w:ilvl w:val="0"/>
                <w:numId w:val="0"/>
              </w:numPr>
              <w:adjustRightInd w:val="0"/>
              <w:snapToGrid w:val="0"/>
              <w:spacing w:line="360" w:lineRule="auto"/>
              <w:jc w:val="left"/>
              <w:rPr>
                <w:rFonts w:hint="eastAsia" w:ascii="Arial" w:hAnsi="Arial" w:eastAsia="宋体" w:cs="Arial"/>
                <w:b w:val="0"/>
                <w:bCs w:val="0"/>
                <w:strike w:val="0"/>
                <w:dstrike w:val="0"/>
                <w:color w:val="auto"/>
                <w:kern w:val="0"/>
                <w:sz w:val="21"/>
                <w:szCs w:val="21"/>
              </w:rPr>
            </w:pPr>
            <w:r>
              <w:rPr>
                <w:rFonts w:hint="eastAsia" w:ascii="Arial" w:hAnsi="Arial" w:eastAsia="宋体" w:cs="Arial"/>
                <w:b w:val="0"/>
                <w:bCs w:val="0"/>
                <w:strike w:val="0"/>
                <w:dstrike w:val="0"/>
                <w:color w:val="auto"/>
                <w:kern w:val="0"/>
                <w:sz w:val="21"/>
                <w:szCs w:val="21"/>
              </w:rPr>
              <w:t xml:space="preserve">    本项目采用固定让利率报价，</w:t>
            </w:r>
            <w:r>
              <w:rPr>
                <w:rFonts w:hint="eastAsia" w:ascii="Arial" w:hAnsi="Arial" w:eastAsia="宋体" w:cs="Arial"/>
                <w:b w:val="0"/>
                <w:bCs w:val="0"/>
                <w:strike w:val="0"/>
                <w:dstrike w:val="0"/>
                <w:color w:val="auto"/>
                <w:kern w:val="0"/>
                <w:sz w:val="21"/>
                <w:szCs w:val="21"/>
                <w:highlight w:val="none"/>
              </w:rPr>
              <w:t>以单项工程最终招标控制价（不含暂列金额、暂估价）为计费基数，按照“行业基准收费标</w:t>
            </w:r>
            <w:r>
              <w:rPr>
                <w:rFonts w:hint="eastAsia" w:ascii="Arial" w:hAnsi="Arial" w:eastAsia="宋体" w:cs="Arial"/>
                <w:b w:val="0"/>
                <w:bCs w:val="0"/>
                <w:strike w:val="0"/>
                <w:dstrike w:val="0"/>
                <w:color w:val="auto"/>
                <w:kern w:val="0"/>
                <w:sz w:val="21"/>
                <w:szCs w:val="21"/>
              </w:rPr>
              <w:t>准×中标让利率”计算单项服务费，服务期内让利率固定不变，不因人工、物价、市场波动调整。</w:t>
            </w:r>
          </w:p>
          <w:p w14:paraId="2C83390A">
            <w:pPr>
              <w:pStyle w:val="5"/>
              <w:rPr>
                <w:rFonts w:hint="eastAsia" w:ascii="Arial" w:hAnsi="Arial" w:eastAsia="宋体" w:cs="Arial"/>
                <w:b w:val="0"/>
                <w:bCs w:val="0"/>
                <w:strike w:val="0"/>
                <w:dstrike w:val="0"/>
                <w:color w:val="auto"/>
                <w:kern w:val="0"/>
                <w:sz w:val="21"/>
                <w:szCs w:val="21"/>
              </w:rPr>
            </w:pPr>
            <w:r>
              <w:rPr>
                <w:rFonts w:hint="eastAsia" w:ascii="Arial" w:hAnsi="Arial" w:eastAsia="宋体" w:cs="Arial"/>
                <w:b w:val="0"/>
                <w:bCs w:val="0"/>
                <w:strike w:val="0"/>
                <w:dstrike w:val="0"/>
                <w:color w:val="auto"/>
                <w:kern w:val="0"/>
                <w:sz w:val="21"/>
                <w:szCs w:val="21"/>
              </w:rPr>
              <w:t xml:space="preserve">  ② 费用、费率计算依据为《关于我区工程造价咨询服务行业收费参考标准的通知》（桂价协〔2019〕15号）（如有更新按最新的收费标准文件执行）； 因零星项目规模偏小、涉及专业单一，单个工程的造价咨询服务费设定保底价1000元，即根据收费标准计算出的造价咨询服务费不足1000元的按1000元结算；超过1000元的如实结算；</w:t>
            </w:r>
          </w:p>
          <w:p w14:paraId="66D7B78A">
            <w:pPr>
              <w:widowControl/>
              <w:numPr>
                <w:ilvl w:val="0"/>
                <w:numId w:val="0"/>
              </w:numPr>
              <w:adjustRightInd w:val="0"/>
              <w:snapToGrid w:val="0"/>
              <w:spacing w:line="360" w:lineRule="auto"/>
              <w:jc w:val="left"/>
              <w:rPr>
                <w:rFonts w:hint="eastAsia" w:ascii="Arial" w:hAnsi="Arial" w:eastAsia="宋体" w:cs="Arial"/>
                <w:b w:val="0"/>
                <w:bCs w:val="0"/>
                <w:strike w:val="0"/>
                <w:dstrike w:val="0"/>
                <w:color w:val="auto"/>
                <w:kern w:val="0"/>
                <w:sz w:val="21"/>
                <w:szCs w:val="21"/>
              </w:rPr>
            </w:pPr>
            <w:r>
              <w:rPr>
                <w:rFonts w:hint="eastAsia" w:ascii="Arial" w:hAnsi="Arial" w:eastAsia="宋体" w:cs="Arial"/>
                <w:b w:val="0"/>
                <w:bCs w:val="0"/>
                <w:strike w:val="0"/>
                <w:dstrike w:val="0"/>
                <w:color w:val="auto"/>
                <w:kern w:val="0"/>
                <w:sz w:val="21"/>
                <w:szCs w:val="21"/>
              </w:rPr>
              <w:t xml:space="preserve">  ③中标报价人按季（每满三个月）向采购人提交服务费用结算清单，采购人在收到服务费用结算清单之日起15日内核准并支付。</w:t>
            </w:r>
          </w:p>
          <w:p w14:paraId="6D848F9F">
            <w:pPr>
              <w:widowControl/>
              <w:numPr>
                <w:ilvl w:val="0"/>
                <w:numId w:val="0"/>
              </w:numPr>
              <w:adjustRightInd w:val="0"/>
              <w:snapToGrid w:val="0"/>
              <w:spacing w:line="360" w:lineRule="auto"/>
              <w:jc w:val="left"/>
              <w:rPr>
                <w:rFonts w:ascii="Arial" w:hAnsi="Arial" w:eastAsia="宋体" w:cs="Arial"/>
                <w:b w:val="0"/>
                <w:bCs w:val="0"/>
                <w:strike w:val="0"/>
                <w:dstrike w:val="0"/>
                <w:color w:val="auto"/>
                <w:kern w:val="0"/>
                <w:sz w:val="21"/>
                <w:szCs w:val="21"/>
              </w:rPr>
            </w:pPr>
            <w:r>
              <w:rPr>
                <w:rFonts w:hint="eastAsia" w:ascii="Arial" w:hAnsi="Arial" w:eastAsia="宋体" w:cs="Arial"/>
                <w:b w:val="0"/>
                <w:bCs w:val="0"/>
                <w:strike w:val="0"/>
                <w:dstrike w:val="0"/>
                <w:color w:val="auto"/>
                <w:kern w:val="0"/>
                <w:sz w:val="21"/>
                <w:szCs w:val="21"/>
              </w:rPr>
              <w:t xml:space="preserve">    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1BEFAF08">
            <w:pPr>
              <w:pStyle w:val="6"/>
              <w:spacing w:line="360" w:lineRule="auto"/>
              <w:rPr>
                <w:rFonts w:hint="eastAsia" w:cs="Times New Roman"/>
                <w:b w:val="0"/>
                <w:bCs w:val="0"/>
                <w:strike w:val="0"/>
                <w:dstrike w:val="0"/>
                <w:color w:val="auto"/>
                <w:sz w:val="21"/>
                <w:szCs w:val="21"/>
                <w:lang w:val="en-US" w:eastAsia="zh-CN"/>
              </w:rPr>
            </w:pPr>
            <w:r>
              <w:rPr>
                <w:rFonts w:hint="eastAsia" w:ascii="Arial" w:hAnsi="Arial" w:eastAsia="宋体" w:cs="Arial"/>
                <w:b w:val="0"/>
                <w:bCs w:val="0"/>
                <w:strike w:val="0"/>
                <w:dstrike w:val="0"/>
                <w:color w:val="auto"/>
                <w:kern w:val="0"/>
                <w:sz w:val="21"/>
                <w:szCs w:val="21"/>
                <w:lang w:val="en-US" w:eastAsia="zh-CN"/>
              </w:rPr>
              <w:t>5.</w:t>
            </w:r>
            <w:r>
              <w:rPr>
                <w:rFonts w:hint="eastAsia" w:cs="Times New Roman"/>
                <w:b w:val="0"/>
                <w:bCs w:val="0"/>
                <w:strike w:val="0"/>
                <w:dstrike w:val="0"/>
                <w:color w:val="auto"/>
                <w:sz w:val="21"/>
                <w:szCs w:val="21"/>
                <w:lang w:val="en-US" w:eastAsia="zh-CN"/>
              </w:rPr>
              <w:t>验收要求</w:t>
            </w:r>
          </w:p>
          <w:p w14:paraId="48527D32">
            <w:pPr>
              <w:keepNext w:val="0"/>
              <w:keepLines w:val="0"/>
              <w:widowControl/>
              <w:suppressLineNumbers w:val="0"/>
              <w:jc w:val="left"/>
              <w:rPr>
                <w:rFonts w:hint="eastAsia" w:cs="Times New Roman"/>
                <w:strike w:val="0"/>
                <w:dstrike w:val="0"/>
                <w:color w:val="auto"/>
                <w:sz w:val="21"/>
                <w:szCs w:val="21"/>
                <w:lang w:val="en-US" w:eastAsia="zh-CN"/>
              </w:rPr>
            </w:pPr>
            <w:r>
              <w:rPr>
                <w:rFonts w:hint="eastAsia" w:cs="Times New Roman"/>
                <w:strike w:val="0"/>
                <w:dstrike w:val="0"/>
                <w:color w:val="auto"/>
                <w:sz w:val="21"/>
                <w:szCs w:val="21"/>
                <w:lang w:val="en-US" w:eastAsia="zh-CN"/>
              </w:rPr>
              <w:t>（1）报价人提供的项目实施方案及售后服务承诺内容在合同实施阶段必须严格执行。报价人应认真对待方案和承诺内容，确保其真实性和可操作性，否则将承担相应的法律责任和违约后果。</w:t>
            </w:r>
            <w:r>
              <w:rPr>
                <w:rFonts w:ascii="宋体" w:hAnsi="宋体" w:eastAsia="宋体" w:cs="宋体"/>
                <w:strike w:val="0"/>
                <w:kern w:val="0"/>
                <w:sz w:val="21"/>
                <w:szCs w:val="21"/>
                <w:lang w:val="en-US" w:eastAsia="zh-CN" w:bidi="ar"/>
              </w:rPr>
              <w:t>以本采购需求、中标投标文件、国家及广西现行计价规范、定额标</w:t>
            </w:r>
            <w:r>
              <w:rPr>
                <w:rFonts w:hint="eastAsia" w:cs="Times New Roman"/>
                <w:strike w:val="0"/>
                <w:dstrike w:val="0"/>
                <w:color w:val="auto"/>
                <w:sz w:val="21"/>
                <w:szCs w:val="21"/>
                <w:lang w:val="en-US" w:eastAsia="zh-CN"/>
              </w:rPr>
              <w:t>准、桂价协〔2019〕15号行业收费标准、采购人委托任务单、审核整改意见为统一验收依据。</w:t>
            </w:r>
          </w:p>
          <w:p w14:paraId="079B3F0B">
            <w:pPr>
              <w:keepNext w:val="0"/>
              <w:keepLines w:val="0"/>
              <w:widowControl/>
              <w:suppressLineNumbers w:val="0"/>
              <w:jc w:val="left"/>
              <w:rPr>
                <w:rFonts w:hint="eastAsia" w:cs="Times New Roman"/>
                <w:strike w:val="0"/>
                <w:dstrike w:val="0"/>
                <w:color w:val="auto"/>
                <w:sz w:val="21"/>
                <w:szCs w:val="21"/>
                <w:lang w:val="en-US" w:eastAsia="zh-CN"/>
              </w:rPr>
            </w:pPr>
            <w:r>
              <w:rPr>
                <w:rFonts w:hint="eastAsia" w:cs="Times New Roman"/>
                <w:strike w:val="0"/>
                <w:dstrike w:val="0"/>
                <w:color w:val="auto"/>
                <w:sz w:val="21"/>
                <w:szCs w:val="21"/>
                <w:lang w:val="en-US" w:eastAsia="zh-CN"/>
              </w:rPr>
              <w:t>（2）单个零星项目造价成果文件同时满足以下条件，判定为验收合格：</w:t>
            </w:r>
          </w:p>
          <w:p w14:paraId="62E5B960">
            <w:pPr>
              <w:keepNext w:val="0"/>
              <w:keepLines w:val="0"/>
              <w:widowControl/>
              <w:suppressLineNumbers w:val="0"/>
              <w:jc w:val="left"/>
              <w:rPr>
                <w:rFonts w:hint="eastAsia" w:cs="Times New Roman"/>
                <w:strike w:val="0"/>
                <w:dstrike w:val="0"/>
                <w:color w:val="auto"/>
                <w:sz w:val="21"/>
                <w:szCs w:val="21"/>
                <w:lang w:val="en-US" w:eastAsia="zh-CN"/>
              </w:rPr>
            </w:pPr>
            <w:r>
              <w:rPr>
                <w:rFonts w:hint="eastAsia" w:cs="Times New Roman"/>
                <w:strike w:val="0"/>
                <w:dstrike w:val="0"/>
                <w:color w:val="auto"/>
                <w:sz w:val="21"/>
                <w:szCs w:val="21"/>
                <w:lang w:val="en-US" w:eastAsia="zh-CN"/>
              </w:rPr>
              <w:t xml:space="preserve">  ①响应时效合格：按要求完成线上响应、现场踏勘核量，无无故缺席、超时到场、拒接委托等情况；</w:t>
            </w:r>
          </w:p>
          <w:p w14:paraId="48B44DDF">
            <w:pPr>
              <w:keepNext w:val="0"/>
              <w:keepLines w:val="0"/>
              <w:widowControl/>
              <w:suppressLineNumbers w:val="0"/>
              <w:jc w:val="left"/>
              <w:rPr>
                <w:rFonts w:hint="eastAsia" w:cs="Times New Roman"/>
                <w:strike w:val="0"/>
                <w:dstrike w:val="0"/>
                <w:color w:val="auto"/>
                <w:sz w:val="21"/>
                <w:szCs w:val="21"/>
                <w:lang w:val="en-US" w:eastAsia="zh-CN"/>
              </w:rPr>
            </w:pPr>
            <w:r>
              <w:rPr>
                <w:rFonts w:hint="eastAsia" w:cs="Times New Roman"/>
                <w:strike w:val="0"/>
                <w:dstrike w:val="0"/>
                <w:color w:val="auto"/>
                <w:sz w:val="21"/>
                <w:szCs w:val="21"/>
                <w:lang w:val="en-US" w:eastAsia="zh-CN"/>
              </w:rPr>
              <w:t xml:space="preserve">  ②交付时限合格：在约定工作日内完整提交工程量清单、招标控制价、计算底稿、询价资料、编制说明等全套成果资料；</w:t>
            </w:r>
          </w:p>
          <w:p w14:paraId="262655D7">
            <w:pPr>
              <w:keepNext w:val="0"/>
              <w:keepLines w:val="0"/>
              <w:widowControl/>
              <w:suppressLineNumbers w:val="0"/>
              <w:jc w:val="left"/>
              <w:rPr>
                <w:rFonts w:hint="eastAsia" w:cs="Times New Roman"/>
                <w:strike w:val="0"/>
                <w:dstrike w:val="0"/>
                <w:color w:val="auto"/>
                <w:sz w:val="21"/>
                <w:szCs w:val="21"/>
                <w:lang w:val="en-US" w:eastAsia="zh-CN"/>
              </w:rPr>
            </w:pPr>
            <w:r>
              <w:rPr>
                <w:rFonts w:hint="eastAsia" w:cs="Times New Roman"/>
                <w:strike w:val="0"/>
                <w:dstrike w:val="0"/>
                <w:color w:val="auto"/>
                <w:sz w:val="21"/>
                <w:szCs w:val="21"/>
                <w:lang w:val="en-US" w:eastAsia="zh-CN"/>
              </w:rPr>
              <w:t xml:space="preserve">  ③成果质量合格：清单子目完整、无重大漏项错项，工程量计算准确、组价取费合规、材料价格贴合市场及当期造价信息。整体造价误差率控制在±5%以内；</w:t>
            </w:r>
          </w:p>
          <w:p w14:paraId="7DDE957D">
            <w:pPr>
              <w:keepNext w:val="0"/>
              <w:keepLines w:val="0"/>
              <w:widowControl/>
              <w:suppressLineNumbers w:val="0"/>
              <w:jc w:val="left"/>
              <w:rPr>
                <w:rFonts w:hint="eastAsia" w:cs="Times New Roman"/>
                <w:strike w:val="0"/>
                <w:dstrike w:val="0"/>
                <w:color w:val="auto"/>
                <w:sz w:val="21"/>
                <w:szCs w:val="21"/>
                <w:lang w:val="en-US" w:eastAsia="zh-CN"/>
              </w:rPr>
            </w:pPr>
            <w:r>
              <w:rPr>
                <w:rFonts w:hint="eastAsia" w:cs="Times New Roman"/>
                <w:strike w:val="0"/>
                <w:dstrike w:val="0"/>
                <w:color w:val="auto"/>
                <w:sz w:val="21"/>
                <w:szCs w:val="21"/>
                <w:lang w:val="en-US" w:eastAsia="zh-CN"/>
              </w:rPr>
              <w:t xml:space="preserve">  ④整改配合合格：免费配合采购人、财政、审计部门答疑、复核、整改，直至成果审定通过；</w:t>
            </w:r>
          </w:p>
          <w:p w14:paraId="438AA52F">
            <w:pPr>
              <w:keepNext w:val="0"/>
              <w:keepLines w:val="0"/>
              <w:widowControl/>
              <w:suppressLineNumbers w:val="0"/>
              <w:jc w:val="left"/>
              <w:rPr>
                <w:rFonts w:hint="eastAsia" w:cs="Times New Roman"/>
                <w:strike w:val="0"/>
                <w:dstrike w:val="0"/>
                <w:color w:val="auto"/>
                <w:sz w:val="21"/>
                <w:szCs w:val="21"/>
                <w:lang w:val="en-US" w:eastAsia="zh-CN"/>
              </w:rPr>
            </w:pPr>
            <w:r>
              <w:rPr>
                <w:rFonts w:hint="eastAsia" w:cs="Times New Roman"/>
                <w:strike w:val="0"/>
                <w:dstrike w:val="0"/>
                <w:color w:val="auto"/>
                <w:sz w:val="21"/>
                <w:szCs w:val="21"/>
                <w:lang w:val="en-US" w:eastAsia="zh-CN"/>
              </w:rPr>
              <w:t xml:space="preserve">  ⑤资料归档合格：成果文件格式规范、内容完整，纸质版、电子版同步齐全，符合采购人归档标准。</w:t>
            </w:r>
          </w:p>
          <w:p w14:paraId="22BF08CC">
            <w:pPr>
              <w:pStyle w:val="6"/>
              <w:rPr>
                <w:rFonts w:hint="eastAsia" w:cs="Times New Roman"/>
                <w:strike w:val="0"/>
                <w:dstrike w:val="0"/>
                <w:color w:val="auto"/>
                <w:sz w:val="21"/>
                <w:szCs w:val="21"/>
                <w:lang w:val="en-US" w:eastAsia="zh-CN"/>
              </w:rPr>
            </w:pPr>
            <w:r>
              <w:rPr>
                <w:rFonts w:hint="eastAsia" w:cs="Times New Roman"/>
                <w:strike w:val="0"/>
                <w:dstrike w:val="0"/>
                <w:color w:val="auto"/>
                <w:sz w:val="21"/>
                <w:szCs w:val="21"/>
                <w:lang w:val="en-US" w:eastAsia="zh-CN"/>
              </w:rPr>
              <w:t>（3）采购人有权委托第三方进行履约验收，履约验收费用（含运行耗材、验收专家费等全部费用）由中标报价人支付。报价人在报价时自行考虑。</w:t>
            </w:r>
          </w:p>
          <w:p w14:paraId="7152BCC6">
            <w:pPr>
              <w:snapToGrid w:val="0"/>
              <w:spacing w:line="276" w:lineRule="auto"/>
            </w:pPr>
            <w:r>
              <w:rPr>
                <w:rFonts w:hint="eastAsia" w:cs="Times New Roman"/>
                <w:strike w:val="0"/>
                <w:dstrike w:val="0"/>
                <w:color w:val="auto"/>
                <w:sz w:val="21"/>
                <w:szCs w:val="21"/>
                <w:lang w:val="en-US" w:eastAsia="zh-CN"/>
              </w:rPr>
              <w:t>（4）如果验收时中标报价人所提供设备达不到采购项目的技术需求，在整改期限20日内中标报价人仍无法提供满足项目技术要求的设备，采购人可以终止项目，中标报价人须承担相应违约责任。</w:t>
            </w:r>
          </w:p>
        </w:tc>
      </w:tr>
    </w:tbl>
    <w:p w14:paraId="08875A4E">
      <w:pPr>
        <w:pStyle w:val="6"/>
      </w:pPr>
    </w:p>
    <w:p w14:paraId="1CC9FA73">
      <w:pPr>
        <w:widowControl/>
        <w:adjustRightInd w:val="0"/>
        <w:snapToGrid w:val="0"/>
        <w:spacing w:line="360" w:lineRule="auto"/>
        <w:jc w:val="left"/>
        <w:rPr>
          <w:rFonts w:ascii="Arial" w:hAnsi="Arial" w:eastAsia="宋体" w:cs="Arial"/>
          <w:color w:val="000000"/>
          <w:kern w:val="0"/>
          <w:sz w:val="24"/>
          <w:szCs w:val="24"/>
        </w:rPr>
      </w:pPr>
      <w:r>
        <w:rPr>
          <w:rFonts w:hint="eastAsia" w:ascii="Arial" w:hAnsi="Arial" w:eastAsia="宋体" w:cs="Arial"/>
          <w:color w:val="000000"/>
          <w:kern w:val="0"/>
          <w:sz w:val="24"/>
          <w:szCs w:val="24"/>
        </w:rPr>
        <w:t>四、</w:t>
      </w:r>
      <w:r>
        <w:rPr>
          <w:rFonts w:ascii="Arial" w:hAnsi="Arial" w:eastAsia="宋体" w:cs="Arial"/>
          <w:color w:val="000000"/>
          <w:kern w:val="0"/>
          <w:sz w:val="24"/>
          <w:szCs w:val="24"/>
        </w:rPr>
        <w:t>报价人须知：（以下要求报价</w:t>
      </w:r>
      <w:r>
        <w:rPr>
          <w:rFonts w:hint="eastAsia" w:ascii="Arial" w:hAnsi="Arial" w:eastAsia="宋体" w:cs="Arial"/>
          <w:color w:val="000000"/>
          <w:kern w:val="0"/>
          <w:sz w:val="24"/>
          <w:szCs w:val="24"/>
          <w:lang w:val="en-US" w:eastAsia="zh-CN"/>
        </w:rPr>
        <w:t>人</w:t>
      </w:r>
      <w:r>
        <w:rPr>
          <w:rFonts w:ascii="Arial" w:hAnsi="Arial" w:eastAsia="宋体" w:cs="Arial"/>
          <w:color w:val="000000"/>
          <w:kern w:val="0"/>
          <w:sz w:val="24"/>
          <w:szCs w:val="24"/>
        </w:rPr>
        <w:t>必须满足否则视为无效）</w:t>
      </w:r>
    </w:p>
    <w:p w14:paraId="09F0FED6">
      <w:pPr>
        <w:widowControl/>
        <w:adjustRightInd w:val="0"/>
        <w:snapToGrid w:val="0"/>
        <w:spacing w:line="520" w:lineRule="exact"/>
        <w:jc w:val="left"/>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kern w:val="0"/>
          <w:sz w:val="24"/>
          <w:szCs w:val="28"/>
        </w:rPr>
        <w:t>1.</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b/>
          <w:color w:val="auto"/>
          <w:szCs w:val="28"/>
          <w:highlight w:val="none"/>
        </w:rPr>
        <w:t>资格证明文件</w:t>
      </w:r>
    </w:p>
    <w:p w14:paraId="7CB6D7B6">
      <w:pPr>
        <w:widowControl/>
        <w:adjustRightInd w:val="0"/>
        <w:snapToGrid w:val="0"/>
        <w:spacing w:line="520" w:lineRule="exact"/>
        <w:jc w:val="left"/>
        <w:rPr>
          <w:rFonts w:hint="eastAsia" w:asciiTheme="majorEastAsia" w:hAnsiTheme="majorEastAsia" w:eastAsiaTheme="majorEastAsia" w:cstheme="majorEastAsia"/>
          <w:color w:val="auto"/>
          <w:sz w:val="24"/>
          <w:szCs w:val="36"/>
          <w:highlight w:val="none"/>
        </w:rPr>
      </w:pP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lang w:val="en-US" w:eastAsia="zh-CN"/>
        </w:rPr>
        <w:t>1</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国内注册（指按国家工商管理有关规定要求注册的），具有合法的主体资格证明复印件（如营业执照、事业单位法人证书、个体工商户营业执照）的</w:t>
      </w:r>
      <w:r>
        <w:rPr>
          <w:rFonts w:hint="eastAsia" w:asciiTheme="majorEastAsia" w:hAnsiTheme="majorEastAsia" w:eastAsiaTheme="majorEastAsia" w:cstheme="majorEastAsia"/>
          <w:kern w:val="0"/>
          <w:sz w:val="24"/>
          <w:szCs w:val="28"/>
          <w:lang w:val="en-US" w:eastAsia="zh-CN"/>
        </w:rPr>
        <w:t>报价人；</w:t>
      </w:r>
      <w:r>
        <w:rPr>
          <w:rFonts w:hint="eastAsia" w:asciiTheme="majorEastAsia" w:hAnsiTheme="majorEastAsia" w:eastAsiaTheme="majorEastAsia" w:cstheme="majorEastAsia"/>
          <w:color w:val="auto"/>
          <w:sz w:val="24"/>
          <w:szCs w:val="36"/>
          <w:highlight w:val="none"/>
        </w:rPr>
        <w:t>（</w:t>
      </w:r>
      <w:r>
        <w:rPr>
          <w:rFonts w:hint="eastAsia" w:asciiTheme="majorEastAsia" w:hAnsiTheme="majorEastAsia" w:eastAsiaTheme="majorEastAsia" w:cstheme="majorEastAsia"/>
          <w:b/>
          <w:color w:val="auto"/>
          <w:sz w:val="24"/>
          <w:szCs w:val="36"/>
          <w:highlight w:val="none"/>
        </w:rPr>
        <w:t>必须提供，否则响应文件按无效响应处理</w:t>
      </w:r>
      <w:r>
        <w:rPr>
          <w:rFonts w:hint="eastAsia" w:asciiTheme="majorEastAsia" w:hAnsiTheme="majorEastAsia" w:eastAsiaTheme="majorEastAsia" w:cstheme="majorEastAsia"/>
          <w:color w:val="auto"/>
          <w:sz w:val="24"/>
          <w:szCs w:val="36"/>
          <w:highlight w:val="none"/>
        </w:rPr>
        <w:t>）</w:t>
      </w:r>
    </w:p>
    <w:p w14:paraId="583DDA09">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声明（格式后附）；（</w:t>
      </w:r>
      <w:r>
        <w:rPr>
          <w:rFonts w:hint="eastAsia" w:asciiTheme="majorEastAsia" w:hAnsiTheme="majorEastAsia" w:eastAsiaTheme="majorEastAsia" w:cstheme="majorEastAsia"/>
          <w:b/>
          <w:color w:val="auto"/>
          <w:sz w:val="24"/>
          <w:szCs w:val="24"/>
          <w:highlight w:val="none"/>
        </w:rPr>
        <w:t>必须提供，否则响应文件按无效响应处理</w:t>
      </w:r>
      <w:r>
        <w:rPr>
          <w:rFonts w:hint="eastAsia" w:asciiTheme="majorEastAsia" w:hAnsiTheme="majorEastAsia" w:eastAsiaTheme="majorEastAsia" w:cstheme="majorEastAsia"/>
          <w:color w:val="auto"/>
          <w:sz w:val="24"/>
          <w:szCs w:val="24"/>
          <w:highlight w:val="none"/>
        </w:rPr>
        <w:t>）</w:t>
      </w:r>
    </w:p>
    <w:p w14:paraId="65573B48">
      <w:pPr>
        <w:ind w:left="0" w:leftChars="0" w:firstLine="0" w:firstLineChars="0"/>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注：</w:t>
      </w:r>
    </w:p>
    <w:p w14:paraId="308189F8">
      <w:pPr>
        <w:ind w:left="0" w:leftChars="0" w:firstLine="0" w:firstLineChars="0"/>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1.以上标明“必须提供”的材料属于复印件的，必须加盖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w:t>
      </w:r>
      <w:r>
        <w:rPr>
          <w:rFonts w:hint="eastAsia" w:asciiTheme="majorEastAsia" w:hAnsiTheme="majorEastAsia" w:eastAsiaTheme="majorEastAsia" w:cstheme="majorEastAsia"/>
          <w:b/>
          <w:color w:val="auto"/>
          <w:sz w:val="21"/>
          <w:szCs w:val="21"/>
          <w:highlight w:val="none"/>
          <w:lang w:val="en-US" w:eastAsia="zh-CN"/>
        </w:rPr>
        <w:t>报价</w:t>
      </w:r>
      <w:r>
        <w:rPr>
          <w:rFonts w:hint="eastAsia" w:asciiTheme="majorEastAsia" w:hAnsiTheme="majorEastAsia" w:eastAsiaTheme="majorEastAsia" w:cstheme="majorEastAsia"/>
          <w:b/>
          <w:color w:val="auto"/>
          <w:sz w:val="21"/>
          <w:szCs w:val="21"/>
          <w:highlight w:val="none"/>
        </w:rPr>
        <w:t>文件按无效响应处理。</w:t>
      </w:r>
    </w:p>
    <w:p w14:paraId="2EA606DC">
      <w:pPr>
        <w:ind w:left="0" w:leftChars="0" w:firstLine="0" w:firstLineChars="0"/>
        <w:rPr>
          <w:rFonts w:hint="eastAsia" w:asciiTheme="majorEastAsia" w:hAnsiTheme="majorEastAsia" w:eastAsiaTheme="majorEastAsia" w:cstheme="majorEastAsia"/>
          <w:kern w:val="0"/>
          <w:sz w:val="21"/>
          <w:szCs w:val="22"/>
        </w:rPr>
      </w:pPr>
      <w:r>
        <w:rPr>
          <w:rFonts w:hint="eastAsia" w:asciiTheme="majorEastAsia" w:hAnsiTheme="majorEastAsia" w:eastAsiaTheme="majorEastAsia" w:cstheme="majorEastAsia"/>
          <w:b/>
          <w:color w:val="auto"/>
          <w:sz w:val="21"/>
          <w:szCs w:val="21"/>
          <w:highlight w:val="none"/>
        </w:rPr>
        <w:t>2.</w:t>
      </w:r>
      <w:r>
        <w:rPr>
          <w:rFonts w:hint="eastAsia" w:asciiTheme="majorEastAsia" w:hAnsiTheme="majorEastAsia" w:eastAsiaTheme="majorEastAsia" w:cstheme="majorEastAsia"/>
          <w:b/>
          <w:color w:val="auto"/>
          <w:sz w:val="21"/>
          <w:szCs w:val="21"/>
          <w:highlight w:val="none"/>
          <w:lang w:val="en-US" w:eastAsia="zh-CN"/>
        </w:rPr>
        <w:t>报价人的报价</w:t>
      </w:r>
      <w:r>
        <w:rPr>
          <w:rFonts w:hint="eastAsia" w:asciiTheme="majorEastAsia" w:hAnsiTheme="majorEastAsia" w:eastAsiaTheme="majorEastAsia" w:cstheme="majorEastAsia"/>
          <w:b/>
          <w:color w:val="auto"/>
          <w:sz w:val="21"/>
          <w:szCs w:val="21"/>
          <w:highlight w:val="none"/>
        </w:rPr>
        <w:t>声明必须由法定代表人或委托代理人在规定签章处签字并加盖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公章，否则响应文件按无效响应处理。</w:t>
      </w:r>
    </w:p>
    <w:p w14:paraId="1EC3DBD6">
      <w:pPr>
        <w:widowControl/>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kern w:val="0"/>
          <w:sz w:val="24"/>
          <w:szCs w:val="28"/>
          <w:lang w:val="en-US" w:eastAsia="zh-CN"/>
        </w:rPr>
        <w:t>（3）</w:t>
      </w:r>
      <w:r>
        <w:rPr>
          <w:rFonts w:hint="eastAsia" w:asciiTheme="majorEastAsia" w:hAnsiTheme="majorEastAsia" w:eastAsiaTheme="majorEastAsia" w:cstheme="majorEastAsia"/>
          <w:b/>
          <w:kern w:val="0"/>
          <w:sz w:val="24"/>
          <w:szCs w:val="28"/>
        </w:rPr>
        <w:t xml:space="preserve">符合以下规定的条件： </w:t>
      </w:r>
    </w:p>
    <w:p w14:paraId="1BD5631C">
      <w:pPr>
        <w:widowControl/>
        <w:numPr>
          <w:ilvl w:val="0"/>
          <w:numId w:val="4"/>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具有独立承担民事责任的能力； </w:t>
      </w:r>
    </w:p>
    <w:p w14:paraId="62E27C7E">
      <w:pPr>
        <w:widowControl/>
        <w:numPr>
          <w:ilvl w:val="0"/>
          <w:numId w:val="4"/>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具有良好的商业信誉和健全的财务会计制度； </w:t>
      </w:r>
    </w:p>
    <w:p w14:paraId="35CBC04E">
      <w:pPr>
        <w:widowControl/>
        <w:numPr>
          <w:ilvl w:val="0"/>
          <w:numId w:val="4"/>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具有履行合同所必需的设备和专业技术能力； </w:t>
      </w:r>
    </w:p>
    <w:p w14:paraId="320CA08C">
      <w:pPr>
        <w:widowControl/>
        <w:numPr>
          <w:ilvl w:val="0"/>
          <w:numId w:val="4"/>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有依法缴纳税收和社会保障资金的良好记录； </w:t>
      </w:r>
    </w:p>
    <w:p w14:paraId="6677FB72">
      <w:pPr>
        <w:widowControl/>
        <w:numPr>
          <w:ilvl w:val="0"/>
          <w:numId w:val="4"/>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参加政府采购活动前三年内，在经营活动中没有重大违法记录； </w:t>
      </w:r>
    </w:p>
    <w:p w14:paraId="529AA131">
      <w:pPr>
        <w:widowControl/>
        <w:numPr>
          <w:ilvl w:val="0"/>
          <w:numId w:val="4"/>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未被列入失信被执行人、重大税收违法失信主体、政府采购严重违法失信行为记录名单；</w:t>
      </w:r>
    </w:p>
    <w:p w14:paraId="5AD11627">
      <w:pPr>
        <w:pStyle w:val="6"/>
        <w:numPr>
          <w:ilvl w:val="0"/>
          <w:numId w:val="4"/>
        </w:numPr>
        <w:ind w:left="0" w:leftChars="0" w:firstLine="400" w:firstLineChars="0"/>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法律、行政法规规定的其他条件。</w:t>
      </w:r>
    </w:p>
    <w:p w14:paraId="57F7BD3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2.单位负责人为同一人或者存在控股、管理关系的不同供应商，不得参加同一合同项下的采购活动。</w:t>
      </w:r>
    </w:p>
    <w:p w14:paraId="29861C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3.报价为最终报价</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须包含货物及货物运抵指定交货地点的运输、装卸费用、售后服务、税金、验收检验及其它所有费用的总和。报价超出采购预算金额的文件将被视为无效。</w:t>
      </w:r>
    </w:p>
    <w:p w14:paraId="0105B1C4">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kern w:val="0"/>
          <w:sz w:val="24"/>
          <w:szCs w:val="24"/>
        </w:rPr>
        <w:t>4.报价文件</w:t>
      </w:r>
      <w:r>
        <w:rPr>
          <w:rFonts w:hint="eastAsia" w:asciiTheme="majorEastAsia" w:hAnsiTheme="majorEastAsia" w:eastAsiaTheme="majorEastAsia" w:cstheme="majorEastAsia"/>
          <w:color w:val="auto"/>
          <w:sz w:val="24"/>
          <w:szCs w:val="24"/>
          <w:highlight w:val="none"/>
        </w:rPr>
        <w:t>由资格证明文件、报价商务技术文件两部分组成</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详见</w:t>
      </w:r>
      <w:r>
        <w:rPr>
          <w:rFonts w:hint="eastAsia" w:asciiTheme="majorEastAsia" w:hAnsiTheme="majorEastAsia" w:eastAsiaTheme="majorEastAsia" w:cstheme="majorEastAsia"/>
          <w:b/>
          <w:sz w:val="24"/>
          <w:szCs w:val="24"/>
        </w:rPr>
        <w:t>报价文件格式</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kern w:val="0"/>
          <w:sz w:val="24"/>
          <w:szCs w:val="24"/>
        </w:rPr>
        <w:t>包括</w:t>
      </w:r>
      <w:r>
        <w:rPr>
          <w:rFonts w:hint="eastAsia" w:asciiTheme="majorEastAsia" w:hAnsiTheme="majorEastAsia" w:eastAsiaTheme="majorEastAsia" w:cstheme="majorEastAsia"/>
          <w:kern w:val="0"/>
          <w:sz w:val="24"/>
          <w:szCs w:val="24"/>
          <w:lang w:val="en-US" w:eastAsia="zh-CN"/>
        </w:rPr>
        <w:t>但不限于</w:t>
      </w:r>
      <w:r>
        <w:rPr>
          <w:rFonts w:hint="eastAsia" w:asciiTheme="majorEastAsia" w:hAnsiTheme="majorEastAsia" w:eastAsiaTheme="majorEastAsia" w:cstheme="majorEastAsia"/>
          <w:kern w:val="0"/>
          <w:sz w:val="24"/>
          <w:szCs w:val="24"/>
        </w:rPr>
        <w:t>本报价函（加盖报价商公章），报价人工商营业执照复印件、法定代表人身份证复印件、委托代理人身份证复印件（委托代理时提供）、法定代表人授权委托书（委托代理时提供）。</w:t>
      </w:r>
    </w:p>
    <w:p w14:paraId="4E9775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5</w:t>
      </w:r>
      <w:r>
        <w:rPr>
          <w:rFonts w:hint="eastAsia" w:asciiTheme="majorEastAsia" w:hAnsiTheme="majorEastAsia" w:eastAsiaTheme="majorEastAsia" w:cstheme="majorEastAsia"/>
          <w:kern w:val="0"/>
          <w:sz w:val="24"/>
          <w:szCs w:val="28"/>
        </w:rPr>
        <w:t>.报价文件递交</w:t>
      </w:r>
    </w:p>
    <w:p w14:paraId="1749A1C6">
      <w:pPr>
        <w:widowControl/>
        <w:adjustRightInd w:val="0"/>
        <w:snapToGrid w:val="0"/>
        <w:spacing w:line="360" w:lineRule="auto"/>
        <w:jc w:val="left"/>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（1）报价</w:t>
      </w:r>
      <w:r>
        <w:rPr>
          <w:rFonts w:hint="eastAsia" w:asciiTheme="majorEastAsia" w:hAnsiTheme="majorEastAsia" w:eastAsiaTheme="majorEastAsia" w:cstheme="majorEastAsia"/>
          <w:color w:val="auto"/>
          <w:sz w:val="24"/>
          <w:szCs w:val="24"/>
          <w:highlight w:val="none"/>
        </w:rPr>
        <w:t>文件份数：</w:t>
      </w:r>
      <w:r>
        <w:rPr>
          <w:rFonts w:hint="eastAsia" w:asciiTheme="majorEastAsia" w:hAnsiTheme="majorEastAsia" w:eastAsiaTheme="majorEastAsia" w:cstheme="majorEastAsia"/>
          <w:color w:val="auto"/>
          <w:sz w:val="24"/>
          <w:szCs w:val="24"/>
          <w:highlight w:val="none"/>
          <w:lang w:val="en-US" w:eastAsia="zh-CN"/>
        </w:rPr>
        <w:t>一式两份，</w:t>
      </w:r>
      <w:r>
        <w:rPr>
          <w:rFonts w:hint="eastAsia" w:asciiTheme="majorEastAsia" w:hAnsiTheme="majorEastAsia" w:eastAsiaTheme="majorEastAsia" w:cstheme="majorEastAsia"/>
          <w:b/>
          <w:bCs/>
          <w:color w:val="auto"/>
          <w:sz w:val="24"/>
          <w:szCs w:val="24"/>
          <w:highlight w:val="none"/>
        </w:rPr>
        <w:t>正本一份、副本</w:t>
      </w:r>
      <w:r>
        <w:rPr>
          <w:rFonts w:hint="eastAsia" w:asciiTheme="majorEastAsia" w:hAnsiTheme="majorEastAsia" w:eastAsiaTheme="majorEastAsia" w:cstheme="majorEastAsia"/>
          <w:b/>
          <w:bCs/>
          <w:color w:val="auto"/>
          <w:sz w:val="24"/>
          <w:szCs w:val="24"/>
          <w:highlight w:val="none"/>
          <w:lang w:val="en-US" w:eastAsia="zh-CN"/>
        </w:rPr>
        <w:t>一</w:t>
      </w:r>
      <w:r>
        <w:rPr>
          <w:rFonts w:hint="eastAsia" w:asciiTheme="majorEastAsia" w:hAnsiTheme="majorEastAsia" w:eastAsiaTheme="majorEastAsia" w:cstheme="majorEastAsia"/>
          <w:b/>
          <w:bCs/>
          <w:color w:val="auto"/>
          <w:sz w:val="24"/>
          <w:szCs w:val="24"/>
          <w:highlight w:val="none"/>
        </w:rPr>
        <w:t>份</w:t>
      </w:r>
    </w:p>
    <w:p w14:paraId="7286C781">
      <w:pPr>
        <w:widowControl/>
        <w:adjustRightInd w:val="0"/>
        <w:snapToGrid w:val="0"/>
        <w:spacing w:line="360" w:lineRule="auto"/>
        <w:jc w:val="left"/>
        <w:rPr>
          <w:rFonts w:hint="eastAsia" w:asciiTheme="majorEastAsia" w:hAnsiTheme="majorEastAsia" w:eastAsiaTheme="majorEastAsia" w:cstheme="majorEastAsia"/>
          <w:color w:val="auto"/>
          <w:spacing w:val="-6"/>
          <w:sz w:val="24"/>
          <w:szCs w:val="24"/>
          <w:highlight w:val="none"/>
        </w:rPr>
      </w:pP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2</w:t>
      </w: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报价人</w:t>
      </w:r>
      <w:r>
        <w:rPr>
          <w:rFonts w:hint="eastAsia" w:asciiTheme="majorEastAsia" w:hAnsiTheme="majorEastAsia" w:eastAsiaTheme="majorEastAsia" w:cstheme="majorEastAsia"/>
          <w:b w:val="0"/>
          <w:bCs w:val="0"/>
          <w:color w:val="auto"/>
          <w:sz w:val="24"/>
          <w:szCs w:val="24"/>
          <w:highlight w:val="none"/>
        </w:rPr>
        <w:t>应按本</w:t>
      </w:r>
      <w:r>
        <w:rPr>
          <w:rFonts w:hint="eastAsia" w:asciiTheme="majorEastAsia" w:hAnsiTheme="majorEastAsia" w:eastAsiaTheme="majorEastAsia" w:cstheme="majorEastAsia"/>
          <w:color w:val="auto"/>
          <w:sz w:val="24"/>
          <w:szCs w:val="24"/>
          <w:highlight w:val="none"/>
        </w:rPr>
        <w:t>文件规定的格式和顺序编制、装订</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文件并标注页码，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文件内容</w:t>
      </w:r>
      <w:r>
        <w:rPr>
          <w:rFonts w:hint="eastAsia" w:asciiTheme="majorEastAsia" w:hAnsiTheme="majorEastAsia" w:eastAsiaTheme="majorEastAsia" w:cstheme="majorEastAsia"/>
          <w:color w:val="auto"/>
          <w:spacing w:val="-6"/>
          <w:sz w:val="24"/>
          <w:szCs w:val="24"/>
          <w:highlight w:val="none"/>
        </w:rPr>
        <w:t>不完整、编排混乱导致被误读、漏读或者查找不到相关内容的，</w:t>
      </w:r>
      <w:r>
        <w:rPr>
          <w:rFonts w:hint="eastAsia" w:asciiTheme="majorEastAsia" w:hAnsiTheme="majorEastAsia" w:eastAsiaTheme="majorEastAsia" w:cstheme="majorEastAsia"/>
          <w:color w:val="auto"/>
          <w:sz w:val="24"/>
          <w:szCs w:val="24"/>
          <w:highlight w:val="none"/>
        </w:rPr>
        <w:t>由此引发的</w:t>
      </w:r>
      <w:r>
        <w:rPr>
          <w:rFonts w:hint="eastAsia" w:asciiTheme="majorEastAsia" w:hAnsiTheme="majorEastAsia" w:eastAsiaTheme="majorEastAsia" w:cstheme="majorEastAsia"/>
          <w:color w:val="auto"/>
          <w:spacing w:val="-6"/>
          <w:sz w:val="24"/>
          <w:szCs w:val="24"/>
          <w:highlight w:val="none"/>
        </w:rPr>
        <w:t>后果由</w:t>
      </w:r>
      <w:r>
        <w:rPr>
          <w:rFonts w:hint="eastAsia" w:asciiTheme="majorEastAsia" w:hAnsiTheme="majorEastAsia" w:eastAsiaTheme="majorEastAsia" w:cstheme="majorEastAsia"/>
          <w:color w:val="auto"/>
          <w:sz w:val="24"/>
          <w:szCs w:val="24"/>
          <w:highlight w:val="none"/>
          <w:lang w:val="en-US" w:eastAsia="zh-CN"/>
        </w:rPr>
        <w:t>报价人自行</w:t>
      </w:r>
      <w:r>
        <w:rPr>
          <w:rFonts w:hint="eastAsia" w:asciiTheme="majorEastAsia" w:hAnsiTheme="majorEastAsia" w:eastAsiaTheme="majorEastAsia" w:cstheme="majorEastAsia"/>
          <w:color w:val="auto"/>
          <w:spacing w:val="-6"/>
          <w:sz w:val="24"/>
          <w:szCs w:val="24"/>
          <w:highlight w:val="none"/>
        </w:rPr>
        <w:t>承担。</w:t>
      </w:r>
    </w:p>
    <w:p w14:paraId="10E93A12">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pacing w:val="-6"/>
          <w:sz w:val="24"/>
          <w:szCs w:val="24"/>
          <w:highlight w:val="none"/>
          <w:lang w:val="en-US" w:eastAsia="zh-CN"/>
        </w:rPr>
        <w:t>3</w:t>
      </w: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文件的封面应注明“正本”、“副本”字样，</w:t>
      </w:r>
      <w:r>
        <w:rPr>
          <w:rFonts w:hint="eastAsia" w:asciiTheme="majorEastAsia" w:hAnsiTheme="majorEastAsia" w:eastAsiaTheme="majorEastAsia" w:cstheme="majorEastAsia"/>
          <w:b w:val="0"/>
          <w:bCs w:val="0"/>
          <w:color w:val="auto"/>
          <w:sz w:val="24"/>
          <w:szCs w:val="24"/>
          <w:highlight w:val="none"/>
        </w:rPr>
        <w:t>提供</w:t>
      </w:r>
      <w:r>
        <w:rPr>
          <w:rFonts w:hint="eastAsia" w:asciiTheme="majorEastAsia" w:hAnsiTheme="majorEastAsia" w:eastAsiaTheme="majorEastAsia" w:cstheme="majorEastAsia"/>
          <w:b w:val="0"/>
          <w:bCs w:val="0"/>
          <w:color w:val="auto"/>
          <w:sz w:val="24"/>
          <w:szCs w:val="24"/>
          <w:highlight w:val="none"/>
          <w:lang w:val="en-US" w:eastAsia="zh-CN"/>
        </w:rPr>
        <w:t>报价</w:t>
      </w:r>
      <w:r>
        <w:rPr>
          <w:rFonts w:hint="eastAsia" w:asciiTheme="majorEastAsia" w:hAnsiTheme="majorEastAsia" w:eastAsiaTheme="majorEastAsia" w:cstheme="majorEastAsia"/>
          <w:b w:val="0"/>
          <w:bCs w:val="0"/>
          <w:color w:val="auto"/>
          <w:sz w:val="24"/>
          <w:szCs w:val="24"/>
          <w:highlight w:val="none"/>
        </w:rPr>
        <w:t>文件正、副本数量不足的将按无效响应处理。</w:t>
      </w:r>
      <w:r>
        <w:rPr>
          <w:rFonts w:hint="eastAsia" w:asciiTheme="majorEastAsia" w:hAnsiTheme="majorEastAsia" w:eastAsiaTheme="majorEastAsia" w:cstheme="majorEastAsia"/>
          <w:color w:val="auto"/>
          <w:sz w:val="24"/>
          <w:szCs w:val="24"/>
          <w:highlight w:val="none"/>
        </w:rPr>
        <w:t>由于</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文件装订松散而造成的丢失或其他情况导致的不利后果由</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自行承担。</w:t>
      </w:r>
    </w:p>
    <w:p w14:paraId="1AC31C6E">
      <w:pPr>
        <w:spacing w:line="360" w:lineRule="auto"/>
        <w:rPr>
          <w:rFonts w:hint="eastAsia" w:asciiTheme="majorEastAsia" w:hAnsiTheme="majorEastAsia" w:eastAsiaTheme="majorEastAsia" w:cstheme="majorEastAsia"/>
          <w:b w:val="0"/>
          <w:bCs w:val="0"/>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（4）报价</w:t>
      </w:r>
      <w:r>
        <w:rPr>
          <w:rFonts w:hint="eastAsia" w:asciiTheme="majorEastAsia" w:hAnsiTheme="majorEastAsia" w:eastAsiaTheme="majorEastAsia" w:cstheme="majorEastAsia"/>
          <w:color w:val="auto"/>
          <w:sz w:val="24"/>
          <w:szCs w:val="24"/>
          <w:highlight w:val="none"/>
        </w:rPr>
        <w:t>文件正、副本全部装入一个包封袋/箱中并加以密封，封口处必须加盖</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公章或法定代表人签字或委托代理人签字，以示密封。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文件外层包装封面上应标记“项目名称、项目编号</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如有</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、供应商名称、</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文件提交截止时间前不得启封”字样。</w:t>
      </w:r>
      <w:r>
        <w:rPr>
          <w:rFonts w:hint="eastAsia" w:asciiTheme="majorEastAsia" w:hAnsiTheme="majorEastAsia" w:eastAsiaTheme="majorEastAsia" w:cstheme="majorEastAsia"/>
          <w:b w:val="0"/>
          <w:bCs w:val="0"/>
          <w:color w:val="auto"/>
          <w:sz w:val="24"/>
          <w:szCs w:val="24"/>
          <w:highlight w:val="none"/>
        </w:rPr>
        <w:t>未按规定密封的响应文件将被拒收。</w:t>
      </w:r>
    </w:p>
    <w:p w14:paraId="5C5840FA">
      <w:pPr>
        <w:pStyle w:val="34"/>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pacing w:val="-6"/>
          <w:sz w:val="24"/>
          <w:szCs w:val="24"/>
          <w:highlight w:val="none"/>
          <w:lang w:val="en-US" w:eastAsia="zh-CN"/>
        </w:rPr>
        <w:t>6.报价</w:t>
      </w:r>
      <w:r>
        <w:rPr>
          <w:rFonts w:hint="eastAsia" w:asciiTheme="majorEastAsia" w:hAnsiTheme="majorEastAsia" w:eastAsiaTheme="majorEastAsia" w:cstheme="majorEastAsia"/>
          <w:b w:val="0"/>
          <w:bCs/>
          <w:color w:val="auto"/>
          <w:sz w:val="24"/>
          <w:szCs w:val="24"/>
          <w:highlight w:val="none"/>
        </w:rPr>
        <w:t>文件提交</w:t>
      </w:r>
    </w:p>
    <w:p w14:paraId="40C1A4F7">
      <w:pPr>
        <w:spacing w:line="480" w:lineRule="exact"/>
        <w:ind w:left="0" w:leftChars="0" w:firstLine="0" w:firstLineChars="0"/>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文件提交起止时间：</w:t>
      </w:r>
      <w:r>
        <w:rPr>
          <w:rFonts w:hint="eastAsia" w:asciiTheme="majorEastAsia" w:hAnsiTheme="majorEastAsia" w:eastAsiaTheme="majorEastAsia" w:cstheme="majorEastAsia"/>
          <w:b/>
          <w:bCs/>
          <w:color w:val="auto"/>
          <w:sz w:val="24"/>
          <w:szCs w:val="24"/>
          <w:highlight w:val="none"/>
          <w:u w:val="single"/>
        </w:rPr>
        <w:t>202</w:t>
      </w:r>
      <w:r>
        <w:rPr>
          <w:rFonts w:hint="eastAsia" w:asciiTheme="majorEastAsia" w:hAnsiTheme="majorEastAsia" w:eastAsiaTheme="majorEastAsia" w:cstheme="majorEastAsia"/>
          <w:b/>
          <w:bCs/>
          <w:color w:val="auto"/>
          <w:sz w:val="24"/>
          <w:szCs w:val="24"/>
          <w:highlight w:val="none"/>
          <w:u w:val="single"/>
          <w:lang w:val="en-US" w:eastAsia="zh-CN"/>
        </w:rPr>
        <w:t>6</w:t>
      </w:r>
      <w:r>
        <w:rPr>
          <w:rFonts w:hint="eastAsia" w:asciiTheme="majorEastAsia" w:hAnsiTheme="majorEastAsia" w:eastAsiaTheme="majorEastAsia" w:cstheme="majorEastAsia"/>
          <w:b/>
          <w:bCs/>
          <w:color w:val="auto"/>
          <w:sz w:val="24"/>
          <w:szCs w:val="24"/>
          <w:highlight w:val="none"/>
          <w:u w:val="single"/>
        </w:rPr>
        <w:t>年</w:t>
      </w:r>
      <w:r>
        <w:rPr>
          <w:rFonts w:hint="eastAsia" w:asciiTheme="majorEastAsia" w:hAnsiTheme="majorEastAsia" w:eastAsiaTheme="majorEastAsia" w:cstheme="majorEastAsia"/>
          <w:b/>
          <w:bCs/>
          <w:color w:val="auto"/>
          <w:sz w:val="24"/>
          <w:szCs w:val="24"/>
          <w:highlight w:val="none"/>
          <w:u w:val="single"/>
          <w:lang w:val="en-US" w:eastAsia="zh-CN"/>
        </w:rPr>
        <w:t>7</w:t>
      </w:r>
      <w:r>
        <w:rPr>
          <w:rFonts w:hint="eastAsia" w:asciiTheme="majorEastAsia" w:hAnsiTheme="majorEastAsia" w:eastAsiaTheme="majorEastAsia" w:cstheme="majorEastAsia"/>
          <w:b/>
          <w:bCs/>
          <w:color w:val="auto"/>
          <w:sz w:val="24"/>
          <w:szCs w:val="24"/>
          <w:highlight w:val="none"/>
          <w:u w:val="single"/>
        </w:rPr>
        <w:t>月</w:t>
      </w:r>
      <w:r>
        <w:rPr>
          <w:rFonts w:hint="eastAsia" w:asciiTheme="majorEastAsia" w:hAnsiTheme="majorEastAsia" w:eastAsiaTheme="majorEastAsia" w:cstheme="majorEastAsia"/>
          <w:b/>
          <w:bCs/>
          <w:color w:val="auto"/>
          <w:sz w:val="24"/>
          <w:szCs w:val="24"/>
          <w:highlight w:val="none"/>
          <w:u w:val="single"/>
          <w:lang w:val="en-US" w:eastAsia="zh-CN"/>
        </w:rPr>
        <w:t>7</w:t>
      </w:r>
      <w:r>
        <w:rPr>
          <w:rFonts w:hint="eastAsia" w:asciiTheme="majorEastAsia" w:hAnsiTheme="majorEastAsia" w:eastAsiaTheme="majorEastAsia" w:cstheme="majorEastAsia"/>
          <w:b/>
          <w:bCs/>
          <w:color w:val="auto"/>
          <w:sz w:val="24"/>
          <w:szCs w:val="24"/>
          <w:highlight w:val="none"/>
          <w:u w:val="single"/>
        </w:rPr>
        <w:t>日9时00分至9时30分</w:t>
      </w:r>
      <w:r>
        <w:rPr>
          <w:rFonts w:hint="eastAsia" w:asciiTheme="majorEastAsia" w:hAnsiTheme="majorEastAsia" w:eastAsiaTheme="majorEastAsia" w:cstheme="majorEastAsia"/>
          <w:b/>
          <w:bCs/>
          <w:color w:val="auto"/>
          <w:sz w:val="24"/>
          <w:szCs w:val="24"/>
          <w:highlight w:val="none"/>
        </w:rPr>
        <w:t>（北京时间）</w:t>
      </w:r>
    </w:p>
    <w:p w14:paraId="60993A02">
      <w:pPr>
        <w:spacing w:line="480" w:lineRule="exact"/>
        <w:ind w:left="0" w:leftChars="0" w:firstLine="0" w:firstLineChars="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文件提交地点</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kern w:val="0"/>
          <w:sz w:val="24"/>
          <w:szCs w:val="24"/>
        </w:rPr>
        <w:t>柳州职业技术大学（柳州市社湾路28号）A区办公楼201室</w:t>
      </w:r>
    </w:p>
    <w:p w14:paraId="23A29EDB">
      <w:pPr>
        <w:spacing w:line="48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b/>
          <w:color w:val="auto"/>
          <w:sz w:val="21"/>
          <w:szCs w:val="21"/>
          <w:highlight w:val="none"/>
          <w:u w:val="single"/>
        </w:rPr>
        <w:t>注：</w:t>
      </w:r>
      <w:r>
        <w:rPr>
          <w:rFonts w:hint="eastAsia" w:asciiTheme="majorEastAsia" w:hAnsiTheme="majorEastAsia" w:eastAsiaTheme="majorEastAsia" w:cstheme="majorEastAsia"/>
          <w:b/>
          <w:color w:val="auto"/>
          <w:sz w:val="21"/>
          <w:szCs w:val="21"/>
          <w:highlight w:val="none"/>
          <w:u w:val="single"/>
          <w:lang w:val="en-US" w:eastAsia="zh-CN"/>
        </w:rPr>
        <w:t>报价人</w:t>
      </w:r>
      <w:r>
        <w:rPr>
          <w:rFonts w:hint="eastAsia" w:asciiTheme="majorEastAsia" w:hAnsiTheme="majorEastAsia" w:eastAsiaTheme="majorEastAsia" w:cstheme="majorEastAsia"/>
          <w:b/>
          <w:color w:val="auto"/>
          <w:sz w:val="21"/>
          <w:szCs w:val="21"/>
          <w:highlight w:val="none"/>
          <w:u w:val="single"/>
        </w:rPr>
        <w:t>应当在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文件提交截止时间前，将</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文件密封送达提交地点。在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文件提交截止时间后送达的</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文件为无效文件，</w:t>
      </w:r>
      <w:r>
        <w:rPr>
          <w:rFonts w:hint="eastAsia" w:asciiTheme="majorEastAsia" w:hAnsiTheme="majorEastAsia" w:eastAsiaTheme="majorEastAsia" w:cstheme="majorEastAsia"/>
          <w:b/>
          <w:color w:val="auto"/>
          <w:sz w:val="21"/>
          <w:szCs w:val="21"/>
          <w:highlight w:val="none"/>
          <w:u w:val="single"/>
          <w:lang w:val="en-US" w:eastAsia="zh-CN"/>
        </w:rPr>
        <w:t>采购将</w:t>
      </w:r>
      <w:r>
        <w:rPr>
          <w:rFonts w:hint="eastAsia" w:asciiTheme="majorEastAsia" w:hAnsiTheme="majorEastAsia" w:eastAsiaTheme="majorEastAsia" w:cstheme="majorEastAsia"/>
          <w:b/>
          <w:color w:val="auto"/>
          <w:sz w:val="21"/>
          <w:szCs w:val="21"/>
          <w:highlight w:val="none"/>
          <w:u w:val="single"/>
        </w:rPr>
        <w:t>拒收。</w:t>
      </w:r>
    </w:p>
    <w:p w14:paraId="5BA32957">
      <w:pPr>
        <w:widowControl/>
        <w:numPr>
          <w:ilvl w:val="0"/>
          <w:numId w:val="5"/>
        </w:numPr>
        <w:adjustRightInd w:val="0"/>
        <w:snapToGrid w:val="0"/>
        <w:spacing w:line="520" w:lineRule="exact"/>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凡对本次采购提出询问，请按以下方式联系</w:t>
      </w:r>
    </w:p>
    <w:p w14:paraId="567E4AB4">
      <w:pPr>
        <w:widowControl/>
        <w:numPr>
          <w:ilvl w:val="0"/>
          <w:numId w:val="0"/>
        </w:numPr>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val="en-US" w:eastAsia="zh-CN" w:bidi="en-US"/>
        </w:rPr>
        <w:t>1</w:t>
      </w: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bidi="en-US"/>
        </w:rPr>
        <w:t>技术及需求咨询联系人：</w:t>
      </w:r>
      <w:r>
        <w:rPr>
          <w:rFonts w:hint="eastAsia" w:asciiTheme="majorEastAsia" w:hAnsiTheme="majorEastAsia" w:eastAsiaTheme="majorEastAsia" w:cstheme="majorEastAsia"/>
          <w:bCs/>
          <w:kern w:val="0"/>
          <w:sz w:val="24"/>
          <w:szCs w:val="28"/>
          <w:lang w:val="en-US" w:eastAsia="zh-CN" w:bidi="en-US"/>
        </w:rPr>
        <w:t>俞老师</w:t>
      </w:r>
      <w:r>
        <w:rPr>
          <w:rFonts w:hint="eastAsia" w:asciiTheme="majorEastAsia" w:hAnsiTheme="majorEastAsia" w:eastAsiaTheme="majorEastAsia" w:cstheme="majorEastAsia"/>
          <w:bCs/>
          <w:kern w:val="0"/>
          <w:sz w:val="24"/>
          <w:szCs w:val="28"/>
          <w:lang w:bidi="en-US"/>
        </w:rPr>
        <w:t xml:space="preserve">     联系电话：</w:t>
      </w:r>
      <w:r>
        <w:rPr>
          <w:rFonts w:hint="eastAsia" w:asciiTheme="majorEastAsia" w:hAnsiTheme="majorEastAsia" w:eastAsiaTheme="majorEastAsia" w:cstheme="majorEastAsia"/>
          <w:bCs/>
          <w:kern w:val="0"/>
          <w:sz w:val="24"/>
          <w:szCs w:val="28"/>
          <w:lang w:val="en-US" w:eastAsia="zh-CN" w:bidi="en-US"/>
        </w:rPr>
        <w:t>13737270750</w:t>
      </w:r>
      <w:r>
        <w:rPr>
          <w:rFonts w:hint="eastAsia" w:asciiTheme="majorEastAsia" w:hAnsiTheme="majorEastAsia" w:eastAsiaTheme="majorEastAsia" w:cstheme="majorEastAsia"/>
          <w:bCs/>
          <w:kern w:val="0"/>
          <w:sz w:val="24"/>
          <w:szCs w:val="28"/>
          <w:lang w:bidi="en-US"/>
        </w:rPr>
        <w:t xml:space="preserve"> </w:t>
      </w:r>
      <w:r>
        <w:rPr>
          <w:rFonts w:hint="eastAsia" w:asciiTheme="majorEastAsia" w:hAnsiTheme="majorEastAsia" w:eastAsiaTheme="majorEastAsia" w:cstheme="majorEastAsia"/>
          <w:kern w:val="0"/>
          <w:sz w:val="24"/>
          <w:szCs w:val="28"/>
        </w:rPr>
        <w:t>。</w:t>
      </w:r>
    </w:p>
    <w:p w14:paraId="4966A16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（2）</w:t>
      </w:r>
      <w:r>
        <w:rPr>
          <w:rFonts w:hint="eastAsia" w:asciiTheme="majorEastAsia" w:hAnsiTheme="majorEastAsia" w:eastAsiaTheme="majorEastAsia" w:cstheme="majorEastAsia"/>
          <w:kern w:val="0"/>
          <w:sz w:val="24"/>
          <w:szCs w:val="28"/>
        </w:rPr>
        <w:t>报价文件接收</w:t>
      </w:r>
      <w:r>
        <w:rPr>
          <w:rFonts w:hint="eastAsia" w:asciiTheme="majorEastAsia" w:hAnsiTheme="majorEastAsia" w:eastAsiaTheme="majorEastAsia" w:cstheme="majorEastAsia"/>
          <w:kern w:val="0"/>
          <w:sz w:val="24"/>
          <w:szCs w:val="28"/>
          <w:lang w:val="en-US" w:eastAsia="zh-CN"/>
        </w:rPr>
        <w:t>联系人：</w:t>
      </w:r>
      <w:r>
        <w:rPr>
          <w:rFonts w:hint="eastAsia" w:asciiTheme="majorEastAsia" w:hAnsiTheme="majorEastAsia" w:eastAsiaTheme="majorEastAsia" w:cstheme="majorEastAsia"/>
          <w:kern w:val="0"/>
          <w:sz w:val="24"/>
          <w:szCs w:val="28"/>
        </w:rPr>
        <w:t>资产管理处办公室工作人员</w:t>
      </w:r>
      <w:r>
        <w:rPr>
          <w:rFonts w:hint="eastAsia" w:asciiTheme="majorEastAsia" w:hAnsiTheme="majorEastAsia" w:eastAsiaTheme="majorEastAsia" w:cstheme="majorEastAsia"/>
          <w:kern w:val="0"/>
          <w:sz w:val="24"/>
          <w:szCs w:val="28"/>
          <w:lang w:val="en-US" w:eastAsia="zh-CN"/>
        </w:rPr>
        <w:t xml:space="preserve">      联系</w:t>
      </w:r>
      <w:r>
        <w:rPr>
          <w:rFonts w:hint="eastAsia" w:asciiTheme="majorEastAsia" w:hAnsiTheme="majorEastAsia" w:eastAsiaTheme="majorEastAsia" w:cstheme="majorEastAsia"/>
          <w:kern w:val="0"/>
          <w:sz w:val="24"/>
          <w:szCs w:val="28"/>
        </w:rPr>
        <w:t xml:space="preserve">电话：0772-3156307   </w:t>
      </w:r>
    </w:p>
    <w:p w14:paraId="0390BF1D">
      <w:pPr>
        <w:pStyle w:val="6"/>
        <w:spacing w:line="360" w:lineRule="auto"/>
        <w:rPr>
          <w:rFonts w:ascii="Arial" w:hAnsi="Arial" w:eastAsia="宋体" w:cs="Arial"/>
          <w:kern w:val="0"/>
          <w:sz w:val="24"/>
          <w:szCs w:val="28"/>
        </w:rPr>
      </w:pPr>
    </w:p>
    <w:p w14:paraId="2D2AD8E3">
      <w:pPr>
        <w:pStyle w:val="6"/>
        <w:spacing w:line="360" w:lineRule="auto"/>
      </w:pPr>
    </w:p>
    <w:p w14:paraId="335E7CA1">
      <w:pPr>
        <w:pStyle w:val="6"/>
        <w:jc w:val="center"/>
        <w:rPr>
          <w:b/>
          <w:sz w:val="44"/>
          <w:szCs w:val="36"/>
        </w:rPr>
      </w:pPr>
    </w:p>
    <w:p w14:paraId="167D5399">
      <w:pPr>
        <w:pStyle w:val="6"/>
        <w:jc w:val="center"/>
        <w:rPr>
          <w:rFonts w:hint="eastAsia"/>
          <w:b/>
          <w:sz w:val="48"/>
          <w:szCs w:val="40"/>
        </w:rPr>
      </w:pPr>
    </w:p>
    <w:p w14:paraId="31033C21">
      <w:pPr>
        <w:pStyle w:val="6"/>
        <w:jc w:val="center"/>
        <w:rPr>
          <w:rFonts w:hint="eastAsia"/>
          <w:b/>
          <w:sz w:val="48"/>
          <w:szCs w:val="40"/>
        </w:rPr>
      </w:pPr>
    </w:p>
    <w:p w14:paraId="5A41BDF5">
      <w:pPr>
        <w:pStyle w:val="6"/>
        <w:jc w:val="center"/>
        <w:rPr>
          <w:rFonts w:hint="eastAsia"/>
          <w:b/>
          <w:sz w:val="48"/>
          <w:szCs w:val="40"/>
        </w:rPr>
      </w:pPr>
    </w:p>
    <w:p w14:paraId="0F3D73F6">
      <w:pPr>
        <w:pStyle w:val="6"/>
        <w:jc w:val="center"/>
        <w:rPr>
          <w:rFonts w:hint="eastAsia"/>
          <w:b/>
          <w:sz w:val="48"/>
          <w:szCs w:val="40"/>
        </w:rPr>
      </w:pPr>
    </w:p>
    <w:p w14:paraId="776272BE">
      <w:pPr>
        <w:pStyle w:val="6"/>
        <w:jc w:val="center"/>
        <w:rPr>
          <w:b/>
          <w:sz w:val="48"/>
          <w:szCs w:val="40"/>
        </w:rPr>
      </w:pPr>
      <w:r>
        <w:rPr>
          <w:rFonts w:hint="eastAsia"/>
          <w:b/>
          <w:sz w:val="48"/>
          <w:szCs w:val="40"/>
        </w:rPr>
        <w:t>报价文件格式</w:t>
      </w:r>
    </w:p>
    <w:p w14:paraId="666830FA">
      <w:pPr>
        <w:pStyle w:val="6"/>
        <w:jc w:val="center"/>
        <w:rPr>
          <w:b/>
          <w:sz w:val="44"/>
          <w:szCs w:val="36"/>
        </w:rPr>
      </w:pPr>
    </w:p>
    <w:p w14:paraId="7A1914C7">
      <w:pPr>
        <w:jc w:val="left"/>
        <w:outlineLvl w:val="1"/>
        <w:rPr>
          <w:rFonts w:ascii="宋体" w:hAnsi="Times New Roman" w:eastAsia="仿宋" w:cs="Times New Roman"/>
          <w:b/>
          <w:sz w:val="36"/>
          <w:szCs w:val="36"/>
        </w:rPr>
      </w:pPr>
      <w:bookmarkStart w:id="0" w:name="_Toc107424598"/>
      <w:bookmarkStart w:id="1" w:name="_Toc254970697"/>
      <w:bookmarkStart w:id="2" w:name="_Toc254970556"/>
      <w:r>
        <w:rPr>
          <w:rFonts w:hint="eastAsia" w:ascii="宋体" w:hAnsi="Times New Roman" w:eastAsia="仿宋" w:cs="Times New Roman"/>
          <w:b/>
          <w:sz w:val="36"/>
          <w:szCs w:val="36"/>
        </w:rPr>
        <w:t>报价文件外层包装封面（格式 ）</w:t>
      </w:r>
      <w:bookmarkEnd w:id="0"/>
      <w:bookmarkEnd w:id="1"/>
      <w:bookmarkEnd w:id="2"/>
      <w:r>
        <w:rPr>
          <w:rFonts w:hint="eastAsia" w:ascii="宋体" w:hAnsi="Times New Roman" w:eastAsia="仿宋" w:cs="Times New Roman"/>
          <w:b/>
          <w:sz w:val="36"/>
          <w:szCs w:val="36"/>
        </w:rPr>
        <w:t xml:space="preserve"> </w:t>
      </w:r>
    </w:p>
    <w:p w14:paraId="2B3F651D">
      <w:pPr>
        <w:spacing w:line="440" w:lineRule="exact"/>
        <w:ind w:firstLine="720" w:firstLineChars="200"/>
        <w:jc w:val="left"/>
        <w:rPr>
          <w:rFonts w:ascii="宋体" w:hAnsi="Times New Roman" w:eastAsia="仿宋" w:cs="Times New Roman"/>
          <w:sz w:val="36"/>
          <w:szCs w:val="36"/>
        </w:rPr>
      </w:pPr>
    </w:p>
    <w:p w14:paraId="2C6FE6FF">
      <w:pPr>
        <w:snapToGrid w:val="0"/>
        <w:spacing w:before="156" w:beforeLines="50" w:after="50" w:line="360" w:lineRule="auto"/>
        <w:jc w:val="center"/>
        <w:rPr>
          <w:rFonts w:hint="eastAsia" w:ascii="宋体" w:hAnsi="宋体" w:eastAsia="宋体" w:cs="宋体"/>
          <w:b/>
          <w:sz w:val="48"/>
          <w:szCs w:val="48"/>
        </w:rPr>
      </w:pPr>
      <w:r>
        <w:rPr>
          <w:rFonts w:hint="eastAsia" w:ascii="宋体" w:hAnsi="宋体" w:eastAsia="宋体" w:cs="宋体"/>
          <w:b/>
          <w:sz w:val="48"/>
          <w:szCs w:val="48"/>
        </w:rPr>
        <w:t>报 价 文 件</w:t>
      </w:r>
    </w:p>
    <w:p w14:paraId="1431D575">
      <w:pPr>
        <w:snapToGrid w:val="0"/>
        <w:spacing w:before="156" w:beforeLines="50" w:after="50" w:line="360" w:lineRule="auto"/>
        <w:jc w:val="center"/>
        <w:rPr>
          <w:rFonts w:hint="eastAsia" w:ascii="宋体" w:hAnsi="宋体" w:eastAsia="宋体" w:cs="宋体"/>
          <w:b/>
          <w:sz w:val="44"/>
          <w:szCs w:val="44"/>
        </w:rPr>
      </w:pPr>
    </w:p>
    <w:p w14:paraId="5357E3B7">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项目名称：</w:t>
      </w:r>
      <w:r>
        <w:rPr>
          <w:rFonts w:hint="eastAsia" w:ascii="宋体" w:hAnsi="宋体" w:eastAsia="仿宋" w:cs="Times New Roman"/>
          <w:bCs/>
          <w:sz w:val="32"/>
          <w:szCs w:val="32"/>
          <w:u w:val="single"/>
        </w:rPr>
        <w:t xml:space="preserve">                         </w:t>
      </w:r>
    </w:p>
    <w:p w14:paraId="5111AF07">
      <w:pPr>
        <w:pStyle w:val="6"/>
        <w:rPr>
          <w:sz w:val="32"/>
          <w:szCs w:val="32"/>
        </w:rPr>
      </w:pPr>
    </w:p>
    <w:p w14:paraId="512C022A">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报价人名称：</w:t>
      </w:r>
      <w:r>
        <w:rPr>
          <w:rFonts w:hint="eastAsia" w:ascii="宋体" w:hAnsi="宋体" w:eastAsia="仿宋" w:cs="Times New Roman"/>
          <w:bCs/>
          <w:sz w:val="32"/>
          <w:szCs w:val="32"/>
          <w:u w:val="single"/>
        </w:rPr>
        <w:t xml:space="preserve">                         </w:t>
      </w:r>
    </w:p>
    <w:p w14:paraId="55BB09D7">
      <w:pPr>
        <w:snapToGrid w:val="0"/>
        <w:spacing w:line="276" w:lineRule="auto"/>
        <w:ind w:firstLine="640" w:firstLineChars="200"/>
        <w:jc w:val="left"/>
        <w:rPr>
          <w:rFonts w:ascii="宋体" w:hAnsi="宋体" w:eastAsia="仿宋" w:cs="Times New Roman"/>
          <w:bCs/>
          <w:sz w:val="32"/>
          <w:szCs w:val="32"/>
          <w:u w:val="single"/>
        </w:rPr>
      </w:pPr>
    </w:p>
    <w:p w14:paraId="57858949">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报价人地址：</w:t>
      </w:r>
      <w:r>
        <w:rPr>
          <w:rFonts w:hint="eastAsia" w:ascii="宋体" w:hAnsi="宋体" w:eastAsia="仿宋" w:cs="Times New Roman"/>
          <w:bCs/>
          <w:sz w:val="32"/>
          <w:szCs w:val="32"/>
          <w:u w:val="single"/>
        </w:rPr>
        <w:t xml:space="preserve">                         </w:t>
      </w:r>
    </w:p>
    <w:p w14:paraId="28724E56">
      <w:pPr>
        <w:snapToGrid w:val="0"/>
        <w:spacing w:line="276" w:lineRule="auto"/>
        <w:ind w:firstLine="640" w:firstLineChars="200"/>
        <w:jc w:val="left"/>
        <w:rPr>
          <w:rFonts w:hint="eastAsia" w:ascii="宋体" w:hAnsi="宋体" w:eastAsia="仿宋" w:cs="Times New Roman"/>
          <w:bCs/>
          <w:sz w:val="32"/>
          <w:szCs w:val="32"/>
          <w:u w:val="single"/>
        </w:rPr>
      </w:pPr>
    </w:p>
    <w:p w14:paraId="4A027DC1">
      <w:pPr>
        <w:snapToGrid w:val="0"/>
        <w:spacing w:line="276" w:lineRule="auto"/>
        <w:ind w:firstLine="640" w:firstLineChars="200"/>
        <w:jc w:val="left"/>
        <w:rPr>
          <w:rFonts w:hint="eastAsia" w:ascii="宋体" w:hAnsi="宋体" w:eastAsia="仿宋" w:cs="Times New Roman"/>
          <w:bCs/>
          <w:sz w:val="32"/>
          <w:szCs w:val="32"/>
          <w:u w:val="single"/>
        </w:rPr>
      </w:pPr>
    </w:p>
    <w:p w14:paraId="5C9AC284">
      <w:pPr>
        <w:snapToGrid w:val="0"/>
        <w:spacing w:line="276" w:lineRule="auto"/>
        <w:ind w:firstLine="640" w:firstLineChars="200"/>
        <w:jc w:val="left"/>
        <w:rPr>
          <w:rFonts w:hint="eastAsia" w:ascii="宋体" w:hAnsi="宋体" w:eastAsia="仿宋" w:cs="Times New Roman"/>
          <w:bCs/>
          <w:sz w:val="32"/>
          <w:szCs w:val="32"/>
          <w:u w:val="single"/>
        </w:rPr>
      </w:pPr>
    </w:p>
    <w:p w14:paraId="36425F6D">
      <w:pPr>
        <w:snapToGrid w:val="0"/>
        <w:spacing w:before="190" w:beforeLines="50" w:after="50"/>
        <w:ind w:firstLine="480" w:firstLineChars="150"/>
        <w:jc w:val="center"/>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响应文件提交截止时间前不得启封</w:t>
      </w:r>
    </w:p>
    <w:p w14:paraId="2EFD7B1B">
      <w:pPr>
        <w:snapToGrid w:val="0"/>
        <w:spacing w:line="276" w:lineRule="auto"/>
        <w:ind w:firstLine="640" w:firstLineChars="200"/>
        <w:jc w:val="left"/>
        <w:rPr>
          <w:rFonts w:hint="eastAsia" w:ascii="宋体" w:hAnsi="宋体" w:eastAsia="仿宋" w:cs="Times New Roman"/>
          <w:bCs/>
          <w:sz w:val="32"/>
          <w:szCs w:val="32"/>
          <w:u w:val="single"/>
        </w:rPr>
      </w:pPr>
    </w:p>
    <w:p w14:paraId="0A9CAEC9">
      <w:pPr>
        <w:snapToGrid w:val="0"/>
        <w:spacing w:line="276" w:lineRule="auto"/>
        <w:ind w:firstLine="640" w:firstLineChars="200"/>
        <w:jc w:val="left"/>
        <w:rPr>
          <w:rFonts w:ascii="宋体" w:hAnsi="宋体" w:eastAsia="仿宋" w:cs="Times New Roman"/>
          <w:bCs/>
          <w:sz w:val="32"/>
          <w:szCs w:val="32"/>
        </w:rPr>
      </w:pPr>
    </w:p>
    <w:p w14:paraId="74389DE7">
      <w:pPr>
        <w:snapToGrid w:val="0"/>
        <w:spacing w:line="276" w:lineRule="auto"/>
        <w:ind w:firstLine="540" w:firstLineChars="150"/>
        <w:jc w:val="center"/>
        <w:rPr>
          <w:rFonts w:ascii="宋体" w:hAnsi="宋体" w:eastAsia="仿宋" w:cs="Times New Roman"/>
          <w:bCs/>
          <w:sz w:val="36"/>
          <w:szCs w:val="36"/>
        </w:rPr>
      </w:pPr>
    </w:p>
    <w:p w14:paraId="7779E040">
      <w:pPr>
        <w:pStyle w:val="6"/>
        <w:jc w:val="center"/>
        <w:rPr>
          <w:b/>
          <w:sz w:val="44"/>
          <w:szCs w:val="36"/>
        </w:rPr>
      </w:pPr>
    </w:p>
    <w:p w14:paraId="5050054A">
      <w:pPr>
        <w:pStyle w:val="6"/>
        <w:jc w:val="center"/>
        <w:rPr>
          <w:b/>
          <w:sz w:val="44"/>
          <w:szCs w:val="36"/>
        </w:rPr>
      </w:pPr>
    </w:p>
    <w:p w14:paraId="7D8AE5B0">
      <w:pPr>
        <w:pStyle w:val="6"/>
        <w:jc w:val="center"/>
        <w:rPr>
          <w:b/>
          <w:sz w:val="44"/>
          <w:szCs w:val="36"/>
        </w:rPr>
      </w:pPr>
    </w:p>
    <w:p w14:paraId="65B627EF">
      <w:pPr>
        <w:pStyle w:val="6"/>
        <w:jc w:val="center"/>
        <w:rPr>
          <w:b/>
          <w:sz w:val="44"/>
          <w:szCs w:val="36"/>
        </w:rPr>
      </w:pPr>
    </w:p>
    <w:p w14:paraId="22EA3E83">
      <w:pPr>
        <w:pStyle w:val="6"/>
        <w:jc w:val="center"/>
        <w:rPr>
          <w:b/>
          <w:sz w:val="44"/>
          <w:szCs w:val="36"/>
        </w:rPr>
      </w:pPr>
    </w:p>
    <w:p w14:paraId="25F16175">
      <w:pPr>
        <w:pStyle w:val="6"/>
        <w:jc w:val="center"/>
        <w:rPr>
          <w:b/>
          <w:sz w:val="44"/>
          <w:szCs w:val="36"/>
        </w:rPr>
      </w:pPr>
    </w:p>
    <w:p w14:paraId="7A11EE56">
      <w:pPr>
        <w:pStyle w:val="6"/>
        <w:numPr>
          <w:ilvl w:val="0"/>
          <w:numId w:val="6"/>
        </w:numPr>
        <w:jc w:val="left"/>
        <w:rPr>
          <w:rFonts w:hint="eastAsia"/>
          <w:b/>
          <w:sz w:val="36"/>
          <w:szCs w:val="36"/>
        </w:rPr>
      </w:pPr>
      <w:r>
        <w:rPr>
          <w:rFonts w:hint="eastAsia"/>
          <w:b/>
          <w:sz w:val="36"/>
          <w:szCs w:val="36"/>
        </w:rPr>
        <w:t>资格证明文件格式</w:t>
      </w:r>
    </w:p>
    <w:p w14:paraId="5D7C8A4D">
      <w:pPr>
        <w:jc w:val="left"/>
        <w:outlineLvl w:val="1"/>
        <w:rPr>
          <w:rFonts w:hint="eastAsia" w:ascii="仿宋" w:hAnsi="仿宋" w:eastAsia="仿宋" w:cs="仿宋"/>
          <w:b/>
          <w:sz w:val="32"/>
          <w:szCs w:val="32"/>
        </w:rPr>
      </w:pPr>
      <w:r>
        <w:rPr>
          <w:rFonts w:hint="eastAsia" w:ascii="仿宋" w:hAnsi="仿宋" w:eastAsia="仿宋" w:cs="仿宋"/>
          <w:b/>
          <w:sz w:val="32"/>
          <w:szCs w:val="32"/>
        </w:rPr>
        <w:t>1.资格证明文件封面（格式）：</w:t>
      </w:r>
    </w:p>
    <w:p w14:paraId="55E7ED38">
      <w:pPr>
        <w:snapToGrid w:val="0"/>
        <w:spacing w:before="156" w:beforeLines="50" w:after="50"/>
        <w:ind w:firstLine="8723" w:firstLineChars="2726"/>
        <w:rPr>
          <w:rFonts w:hint="eastAsia" w:hAnsi="仿宋"/>
          <w:bCs/>
          <w:sz w:val="32"/>
          <w:szCs w:val="32"/>
        </w:rPr>
      </w:pPr>
      <w:r>
        <w:rPr>
          <w:rFonts w:hint="eastAsia" w:hAnsi="仿宋"/>
          <w:bCs/>
          <w:sz w:val="32"/>
          <w:szCs w:val="32"/>
        </w:rPr>
        <w:t>正本/副本</w:t>
      </w:r>
    </w:p>
    <w:p w14:paraId="418AD244">
      <w:pPr>
        <w:snapToGrid w:val="0"/>
        <w:spacing w:before="156" w:beforeLines="50" w:after="50" w:line="360" w:lineRule="exact"/>
        <w:rPr>
          <w:rFonts w:hint="eastAsia" w:ascii="宋体" w:hAnsi="宋体" w:eastAsia="宋体" w:cs="Times New Roman"/>
          <w:b/>
          <w:sz w:val="44"/>
          <w:szCs w:val="24"/>
        </w:rPr>
      </w:pPr>
    </w:p>
    <w:p w14:paraId="76120DB3">
      <w:pPr>
        <w:snapToGrid w:val="0"/>
        <w:spacing w:before="156" w:beforeLines="50" w:after="50" w:line="360" w:lineRule="exact"/>
        <w:ind w:firstLine="3278" w:firstLineChars="742"/>
        <w:rPr>
          <w:rFonts w:hint="eastAsia" w:ascii="宋体" w:hAnsi="宋体" w:eastAsia="宋体" w:cs="Times New Roman"/>
          <w:b/>
          <w:sz w:val="44"/>
          <w:szCs w:val="24"/>
        </w:rPr>
      </w:pPr>
    </w:p>
    <w:p w14:paraId="4E1BF81E">
      <w:pPr>
        <w:jc w:val="center"/>
        <w:outlineLvl w:val="1"/>
        <w:rPr>
          <w:rFonts w:hint="eastAsia" w:ascii="仿宋" w:hAnsi="仿宋" w:eastAsia="仿宋" w:cs="仿宋"/>
          <w:b/>
          <w:sz w:val="36"/>
          <w:szCs w:val="36"/>
        </w:rPr>
      </w:pPr>
      <w:r>
        <w:rPr>
          <w:rFonts w:hint="eastAsia" w:ascii="仿宋" w:hAnsi="仿宋" w:eastAsia="仿宋" w:cs="仿宋"/>
          <w:b/>
          <w:sz w:val="40"/>
          <w:szCs w:val="40"/>
        </w:rPr>
        <w:t>资格证明文件</w:t>
      </w:r>
    </w:p>
    <w:p w14:paraId="66E0B16D">
      <w:pPr>
        <w:snapToGrid w:val="0"/>
        <w:spacing w:before="156" w:beforeLines="50" w:after="50" w:line="360" w:lineRule="exact"/>
        <w:rPr>
          <w:rFonts w:hint="eastAsia" w:ascii="宋体" w:hAnsi="宋体" w:eastAsia="宋体" w:cs="Times New Roman"/>
          <w:szCs w:val="24"/>
        </w:rPr>
      </w:pPr>
      <w:r>
        <w:rPr>
          <w:rFonts w:hint="eastAsia" w:ascii="宋体" w:hAnsi="宋体" w:eastAsia="宋体" w:cs="Times New Roman"/>
          <w:bCs/>
          <w:sz w:val="30"/>
          <w:szCs w:val="28"/>
        </w:rPr>
        <w:t xml:space="preserve"> </w:t>
      </w:r>
    </w:p>
    <w:p w14:paraId="6B165B77">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项目名称：</w:t>
      </w:r>
      <w:r>
        <w:rPr>
          <w:rFonts w:hint="eastAsia" w:ascii="宋体" w:hAnsi="宋体" w:eastAsia="宋体" w:cs="Times New Roman"/>
          <w:bCs/>
          <w:sz w:val="28"/>
          <w:szCs w:val="24"/>
          <w:u w:val="single"/>
        </w:rPr>
        <w:t xml:space="preserve">                       </w:t>
      </w:r>
    </w:p>
    <w:p w14:paraId="6BA40633">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供应商名称：</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 xml:space="preserve">   （加盖单位公章）</w:t>
      </w:r>
    </w:p>
    <w:p w14:paraId="288583F8">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供应商地址：</w:t>
      </w:r>
      <w:r>
        <w:rPr>
          <w:rFonts w:hint="eastAsia" w:ascii="宋体" w:hAnsi="宋体" w:eastAsia="宋体" w:cs="Times New Roman"/>
          <w:bCs/>
          <w:sz w:val="28"/>
          <w:szCs w:val="24"/>
          <w:u w:val="single"/>
        </w:rPr>
        <w:t xml:space="preserve">                      </w:t>
      </w:r>
    </w:p>
    <w:p w14:paraId="7FC4533C">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联系人：</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联系电话：</w:t>
      </w:r>
      <w:r>
        <w:rPr>
          <w:rFonts w:hint="eastAsia" w:ascii="宋体" w:hAnsi="宋体" w:eastAsia="宋体" w:cs="Times New Roman"/>
          <w:bCs/>
          <w:sz w:val="28"/>
          <w:szCs w:val="24"/>
          <w:u w:val="single"/>
        </w:rPr>
        <w:t xml:space="preserve">               </w:t>
      </w:r>
    </w:p>
    <w:p w14:paraId="21FEA1F8">
      <w:pPr>
        <w:snapToGrid w:val="0"/>
        <w:spacing w:line="1000" w:lineRule="exact"/>
        <w:ind w:firstLine="840" w:firstLineChars="300"/>
        <w:rPr>
          <w:rFonts w:hint="eastAsia" w:ascii="宋体" w:hAnsi="宋体" w:eastAsia="宋体" w:cs="Times New Roman"/>
          <w:bCs/>
          <w:sz w:val="28"/>
          <w:szCs w:val="24"/>
          <w:u w:val="single"/>
        </w:rPr>
      </w:pPr>
    </w:p>
    <w:p w14:paraId="22CD5945">
      <w:pPr>
        <w:pStyle w:val="6"/>
        <w:numPr>
          <w:ilvl w:val="0"/>
          <w:numId w:val="0"/>
        </w:numPr>
        <w:jc w:val="left"/>
        <w:rPr>
          <w:rFonts w:hint="eastAsia"/>
          <w:b/>
          <w:sz w:val="36"/>
          <w:szCs w:val="36"/>
        </w:rPr>
      </w:pPr>
    </w:p>
    <w:p w14:paraId="470AC734">
      <w:pPr>
        <w:pStyle w:val="6"/>
        <w:numPr>
          <w:ilvl w:val="0"/>
          <w:numId w:val="0"/>
        </w:numPr>
        <w:jc w:val="left"/>
        <w:rPr>
          <w:rFonts w:hint="eastAsia"/>
          <w:b/>
          <w:sz w:val="36"/>
          <w:szCs w:val="36"/>
        </w:rPr>
      </w:pPr>
    </w:p>
    <w:p w14:paraId="23E8BFE9">
      <w:pPr>
        <w:pStyle w:val="6"/>
        <w:numPr>
          <w:ilvl w:val="0"/>
          <w:numId w:val="0"/>
        </w:numPr>
        <w:jc w:val="left"/>
        <w:rPr>
          <w:rFonts w:hint="eastAsia"/>
          <w:b/>
          <w:sz w:val="36"/>
          <w:szCs w:val="36"/>
        </w:rPr>
      </w:pPr>
    </w:p>
    <w:p w14:paraId="1A62783F">
      <w:pPr>
        <w:pStyle w:val="6"/>
        <w:numPr>
          <w:ilvl w:val="0"/>
          <w:numId w:val="0"/>
        </w:numPr>
        <w:jc w:val="left"/>
        <w:rPr>
          <w:rFonts w:hint="eastAsia"/>
          <w:b/>
          <w:sz w:val="36"/>
          <w:szCs w:val="36"/>
        </w:rPr>
      </w:pPr>
    </w:p>
    <w:p w14:paraId="37870246">
      <w:pPr>
        <w:pStyle w:val="6"/>
        <w:numPr>
          <w:ilvl w:val="0"/>
          <w:numId w:val="0"/>
        </w:numPr>
        <w:jc w:val="left"/>
        <w:rPr>
          <w:rFonts w:hint="eastAsia"/>
          <w:b/>
          <w:sz w:val="36"/>
          <w:szCs w:val="36"/>
        </w:rPr>
      </w:pPr>
    </w:p>
    <w:p w14:paraId="03D6C588">
      <w:pPr>
        <w:pStyle w:val="6"/>
        <w:numPr>
          <w:ilvl w:val="0"/>
          <w:numId w:val="0"/>
        </w:numPr>
        <w:jc w:val="left"/>
        <w:rPr>
          <w:rFonts w:hint="eastAsia"/>
          <w:b/>
          <w:sz w:val="36"/>
          <w:szCs w:val="36"/>
        </w:rPr>
      </w:pPr>
    </w:p>
    <w:p w14:paraId="33C56735">
      <w:pPr>
        <w:pStyle w:val="6"/>
        <w:numPr>
          <w:ilvl w:val="0"/>
          <w:numId w:val="0"/>
        </w:numPr>
        <w:jc w:val="left"/>
        <w:rPr>
          <w:rFonts w:hint="eastAsia"/>
          <w:b/>
          <w:sz w:val="36"/>
          <w:szCs w:val="36"/>
        </w:rPr>
      </w:pPr>
    </w:p>
    <w:p w14:paraId="1E983098">
      <w:pPr>
        <w:pStyle w:val="6"/>
        <w:numPr>
          <w:ilvl w:val="0"/>
          <w:numId w:val="0"/>
        </w:numPr>
        <w:jc w:val="left"/>
        <w:rPr>
          <w:rFonts w:hint="eastAsia"/>
          <w:b/>
          <w:sz w:val="36"/>
          <w:szCs w:val="36"/>
        </w:rPr>
      </w:pPr>
    </w:p>
    <w:p w14:paraId="573B5DE7">
      <w:pPr>
        <w:pStyle w:val="36"/>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.资格证明文件目录</w:t>
      </w:r>
    </w:p>
    <w:p w14:paraId="1B8E4362">
      <w:pPr>
        <w:snapToGrid w:val="0"/>
        <w:spacing w:line="360" w:lineRule="auto"/>
        <w:ind w:firstLine="640"/>
        <w:rPr>
          <w:rFonts w:hint="eastAsia" w:ascii="宋体" w:hAnsi="宋体"/>
          <w:color w:val="auto"/>
          <w:sz w:val="32"/>
          <w:szCs w:val="32"/>
          <w:highlight w:val="none"/>
        </w:rPr>
      </w:pPr>
      <w:r>
        <w:rPr>
          <w:rFonts w:hint="eastAsia" w:ascii="宋体" w:hAnsi="宋体"/>
          <w:color w:val="auto"/>
          <w:sz w:val="32"/>
          <w:szCs w:val="32"/>
          <w:highlight w:val="none"/>
        </w:rPr>
        <w:t>根据</w:t>
      </w:r>
      <w:r>
        <w:rPr>
          <w:rFonts w:hint="eastAsia" w:ascii="宋体" w:hAnsi="宋体"/>
          <w:color w:val="auto"/>
          <w:sz w:val="32"/>
          <w:szCs w:val="32"/>
          <w:highlight w:val="none"/>
          <w:lang w:val="en-US" w:eastAsia="zh-CN"/>
        </w:rPr>
        <w:t>报价</w:t>
      </w:r>
      <w:r>
        <w:rPr>
          <w:rFonts w:hint="eastAsia" w:ascii="宋体" w:hAnsi="宋体"/>
          <w:color w:val="auto"/>
          <w:sz w:val="32"/>
          <w:szCs w:val="32"/>
          <w:highlight w:val="none"/>
        </w:rPr>
        <w:t>文件规定及</w:t>
      </w:r>
      <w:r>
        <w:rPr>
          <w:rFonts w:hint="eastAsia" w:ascii="宋体" w:hAnsi="宋体"/>
          <w:color w:val="auto"/>
          <w:sz w:val="32"/>
          <w:szCs w:val="32"/>
          <w:highlight w:val="none"/>
          <w:lang w:val="en-US" w:eastAsia="zh-CN"/>
        </w:rPr>
        <w:t>报价人</w:t>
      </w:r>
      <w:r>
        <w:rPr>
          <w:rFonts w:hint="eastAsia" w:ascii="宋体" w:hAnsi="宋体"/>
          <w:color w:val="auto"/>
          <w:sz w:val="32"/>
          <w:szCs w:val="32"/>
          <w:highlight w:val="none"/>
        </w:rPr>
        <w:t>提供的材料自行编写目录（部分格式后附）。</w:t>
      </w:r>
    </w:p>
    <w:p w14:paraId="423F33BF">
      <w:pPr>
        <w:pStyle w:val="6"/>
        <w:rPr>
          <w:sz w:val="24"/>
          <w:szCs w:val="24"/>
        </w:rPr>
      </w:pPr>
    </w:p>
    <w:p w14:paraId="104E28E9">
      <w:pPr>
        <w:pStyle w:val="6"/>
        <w:rPr>
          <w:sz w:val="24"/>
          <w:szCs w:val="24"/>
        </w:rPr>
      </w:pPr>
    </w:p>
    <w:p w14:paraId="6DFC3D17">
      <w:pPr>
        <w:pStyle w:val="6"/>
        <w:rPr>
          <w:sz w:val="24"/>
          <w:szCs w:val="24"/>
        </w:rPr>
      </w:pPr>
    </w:p>
    <w:p w14:paraId="6C6BA235">
      <w:pPr>
        <w:pStyle w:val="6"/>
        <w:rPr>
          <w:sz w:val="24"/>
          <w:szCs w:val="24"/>
        </w:rPr>
      </w:pPr>
    </w:p>
    <w:p w14:paraId="5CD97640">
      <w:pPr>
        <w:pStyle w:val="6"/>
        <w:rPr>
          <w:sz w:val="24"/>
          <w:szCs w:val="24"/>
        </w:rPr>
      </w:pPr>
    </w:p>
    <w:p w14:paraId="06143FD8">
      <w:pPr>
        <w:pStyle w:val="6"/>
        <w:rPr>
          <w:sz w:val="24"/>
          <w:szCs w:val="24"/>
        </w:rPr>
      </w:pPr>
    </w:p>
    <w:p w14:paraId="4D0B5893">
      <w:pPr>
        <w:pStyle w:val="6"/>
        <w:rPr>
          <w:sz w:val="24"/>
          <w:szCs w:val="24"/>
        </w:rPr>
      </w:pPr>
    </w:p>
    <w:p w14:paraId="1771D750">
      <w:pPr>
        <w:pStyle w:val="6"/>
        <w:rPr>
          <w:sz w:val="24"/>
          <w:szCs w:val="24"/>
        </w:rPr>
      </w:pPr>
    </w:p>
    <w:p w14:paraId="194A9E8B">
      <w:pPr>
        <w:pStyle w:val="6"/>
        <w:rPr>
          <w:sz w:val="24"/>
          <w:szCs w:val="24"/>
        </w:rPr>
      </w:pPr>
    </w:p>
    <w:p w14:paraId="7C13A348">
      <w:pPr>
        <w:pStyle w:val="6"/>
        <w:rPr>
          <w:sz w:val="24"/>
          <w:szCs w:val="24"/>
        </w:rPr>
      </w:pPr>
    </w:p>
    <w:p w14:paraId="234CF384">
      <w:pPr>
        <w:pStyle w:val="6"/>
        <w:rPr>
          <w:sz w:val="24"/>
          <w:szCs w:val="24"/>
        </w:rPr>
      </w:pPr>
    </w:p>
    <w:p w14:paraId="5925F701">
      <w:pPr>
        <w:pStyle w:val="6"/>
        <w:rPr>
          <w:sz w:val="24"/>
          <w:szCs w:val="24"/>
        </w:rPr>
      </w:pPr>
    </w:p>
    <w:p w14:paraId="552CFC52">
      <w:pPr>
        <w:pStyle w:val="6"/>
        <w:rPr>
          <w:sz w:val="24"/>
          <w:szCs w:val="24"/>
        </w:rPr>
      </w:pPr>
    </w:p>
    <w:p w14:paraId="6BEF4C5C">
      <w:pPr>
        <w:pStyle w:val="6"/>
        <w:rPr>
          <w:sz w:val="24"/>
          <w:szCs w:val="24"/>
        </w:rPr>
      </w:pPr>
    </w:p>
    <w:p w14:paraId="67DA8AC9">
      <w:pPr>
        <w:pStyle w:val="6"/>
        <w:rPr>
          <w:sz w:val="24"/>
          <w:szCs w:val="24"/>
        </w:rPr>
      </w:pPr>
    </w:p>
    <w:p w14:paraId="5A4810C3">
      <w:pPr>
        <w:pStyle w:val="6"/>
        <w:rPr>
          <w:sz w:val="24"/>
          <w:szCs w:val="24"/>
        </w:rPr>
      </w:pPr>
    </w:p>
    <w:p w14:paraId="12D0D3DC">
      <w:pPr>
        <w:pStyle w:val="6"/>
        <w:rPr>
          <w:sz w:val="24"/>
          <w:szCs w:val="24"/>
        </w:rPr>
      </w:pPr>
    </w:p>
    <w:p w14:paraId="7AC96D58">
      <w:pPr>
        <w:pStyle w:val="6"/>
        <w:rPr>
          <w:sz w:val="24"/>
          <w:szCs w:val="24"/>
        </w:rPr>
      </w:pPr>
    </w:p>
    <w:p w14:paraId="438803F8">
      <w:pPr>
        <w:pStyle w:val="6"/>
        <w:rPr>
          <w:sz w:val="24"/>
          <w:szCs w:val="24"/>
        </w:rPr>
      </w:pPr>
    </w:p>
    <w:p w14:paraId="38EFBF24">
      <w:pPr>
        <w:pStyle w:val="6"/>
        <w:rPr>
          <w:sz w:val="24"/>
          <w:szCs w:val="24"/>
        </w:rPr>
      </w:pPr>
    </w:p>
    <w:p w14:paraId="5E18787D">
      <w:pPr>
        <w:pStyle w:val="6"/>
        <w:rPr>
          <w:sz w:val="24"/>
          <w:szCs w:val="24"/>
        </w:rPr>
      </w:pPr>
    </w:p>
    <w:p w14:paraId="50F62FAD">
      <w:pPr>
        <w:pStyle w:val="6"/>
        <w:rPr>
          <w:sz w:val="24"/>
          <w:szCs w:val="24"/>
        </w:rPr>
      </w:pPr>
    </w:p>
    <w:p w14:paraId="7C0A8F47">
      <w:pPr>
        <w:pStyle w:val="6"/>
        <w:rPr>
          <w:sz w:val="24"/>
          <w:szCs w:val="24"/>
        </w:rPr>
      </w:pPr>
    </w:p>
    <w:p w14:paraId="5DBAFC46">
      <w:pPr>
        <w:pStyle w:val="6"/>
        <w:rPr>
          <w:sz w:val="24"/>
          <w:szCs w:val="24"/>
        </w:rPr>
      </w:pPr>
    </w:p>
    <w:p w14:paraId="4AD066AC">
      <w:pPr>
        <w:pStyle w:val="6"/>
        <w:rPr>
          <w:sz w:val="24"/>
          <w:szCs w:val="24"/>
        </w:rPr>
      </w:pPr>
    </w:p>
    <w:p w14:paraId="30C0275E">
      <w:pPr>
        <w:pStyle w:val="6"/>
        <w:rPr>
          <w:sz w:val="24"/>
          <w:szCs w:val="24"/>
        </w:rPr>
      </w:pPr>
    </w:p>
    <w:p w14:paraId="1C14FF84">
      <w:pPr>
        <w:pStyle w:val="6"/>
        <w:rPr>
          <w:sz w:val="24"/>
          <w:szCs w:val="24"/>
        </w:rPr>
      </w:pPr>
    </w:p>
    <w:p w14:paraId="1F6862F8">
      <w:pPr>
        <w:pStyle w:val="6"/>
        <w:rPr>
          <w:sz w:val="24"/>
          <w:szCs w:val="24"/>
        </w:rPr>
      </w:pPr>
    </w:p>
    <w:p w14:paraId="3A8300A8">
      <w:pPr>
        <w:pStyle w:val="6"/>
        <w:rPr>
          <w:sz w:val="24"/>
          <w:szCs w:val="24"/>
        </w:rPr>
      </w:pPr>
    </w:p>
    <w:p w14:paraId="1E57EC9F">
      <w:pPr>
        <w:pStyle w:val="6"/>
        <w:rPr>
          <w:sz w:val="24"/>
          <w:szCs w:val="24"/>
        </w:rPr>
      </w:pPr>
    </w:p>
    <w:p w14:paraId="523C7935">
      <w:pPr>
        <w:pStyle w:val="6"/>
        <w:rPr>
          <w:sz w:val="24"/>
          <w:szCs w:val="24"/>
        </w:rPr>
      </w:pPr>
    </w:p>
    <w:p w14:paraId="20805CD2">
      <w:pPr>
        <w:pStyle w:val="6"/>
        <w:rPr>
          <w:sz w:val="24"/>
          <w:szCs w:val="24"/>
        </w:rPr>
      </w:pPr>
    </w:p>
    <w:p w14:paraId="77464BFD">
      <w:pPr>
        <w:pStyle w:val="6"/>
        <w:rPr>
          <w:sz w:val="24"/>
          <w:szCs w:val="24"/>
        </w:rPr>
      </w:pPr>
    </w:p>
    <w:p w14:paraId="7C0DA5B1">
      <w:pPr>
        <w:jc w:val="left"/>
        <w:outlineLvl w:val="1"/>
        <w:rPr>
          <w:rFonts w:ascii="仿宋" w:hAnsi="仿宋" w:eastAsia="仿宋" w:cs="Times New Roman"/>
          <w:b/>
          <w:sz w:val="36"/>
          <w:szCs w:val="21"/>
        </w:rPr>
      </w:pPr>
      <w:r>
        <w:rPr>
          <w:rFonts w:hint="eastAsia" w:ascii="仿宋" w:hAnsi="仿宋" w:eastAsia="仿宋" w:cs="Times New Roman"/>
          <w:b/>
          <w:sz w:val="32"/>
          <w:szCs w:val="32"/>
          <w:lang w:val="en-US" w:eastAsia="zh-CN"/>
        </w:rPr>
        <w:t>3</w:t>
      </w:r>
      <w:r>
        <w:rPr>
          <w:rFonts w:hint="eastAsia" w:ascii="仿宋" w:hAnsi="仿宋" w:eastAsia="仿宋" w:cs="Times New Roman"/>
          <w:b/>
          <w:sz w:val="32"/>
          <w:szCs w:val="32"/>
        </w:rPr>
        <w:t>.</w:t>
      </w:r>
      <w:r>
        <w:rPr>
          <w:rFonts w:hint="eastAsia"/>
          <w:sz w:val="32"/>
          <w:szCs w:val="32"/>
        </w:rPr>
        <w:t xml:space="preserve"> </w:t>
      </w:r>
      <w:r>
        <w:rPr>
          <w:rFonts w:hint="eastAsia" w:ascii="仿宋" w:hAnsi="仿宋" w:eastAsia="仿宋" w:cs="Times New Roman"/>
          <w:b/>
          <w:sz w:val="36"/>
          <w:szCs w:val="21"/>
        </w:rPr>
        <w:t>报价人声明格式</w:t>
      </w:r>
    </w:p>
    <w:p w14:paraId="21C1FC56">
      <w:pPr>
        <w:snapToGrid w:val="0"/>
        <w:spacing w:before="312" w:beforeLines="100" w:after="312" w:afterLines="100" w:line="360" w:lineRule="auto"/>
        <w:jc w:val="center"/>
        <w:rPr>
          <w:rFonts w:ascii="宋体" w:hAnsi="Times New Roman" w:eastAsia="仿宋" w:cs="Times New Roman"/>
          <w:b/>
          <w:sz w:val="36"/>
          <w:szCs w:val="36"/>
        </w:rPr>
      </w:pPr>
      <w:r>
        <w:rPr>
          <w:rFonts w:hint="eastAsia" w:ascii="宋体" w:hAnsi="Times New Roman" w:eastAsia="仿宋" w:cs="Times New Roman"/>
          <w:b/>
          <w:sz w:val="36"/>
          <w:szCs w:val="36"/>
        </w:rPr>
        <w:t>报价声明</w:t>
      </w:r>
    </w:p>
    <w:p w14:paraId="6D3EDE01">
      <w:pPr>
        <w:snapToGrid w:val="0"/>
        <w:spacing w:line="480" w:lineRule="exact"/>
        <w:jc w:val="left"/>
        <w:rPr>
          <w:rFonts w:ascii="仿宋" w:hAnsi="仿宋" w:eastAsia="仿宋" w:cs="Times New Roman"/>
          <w:b/>
          <w:bCs/>
          <w:sz w:val="28"/>
          <w:szCs w:val="28"/>
        </w:rPr>
      </w:pPr>
      <w:r>
        <w:rPr>
          <w:rFonts w:hint="eastAsia" w:ascii="仿宋" w:hAnsi="仿宋" w:eastAsia="仿宋" w:cs="Times New Roman"/>
          <w:b/>
          <w:bCs/>
          <w:sz w:val="28"/>
          <w:szCs w:val="28"/>
        </w:rPr>
        <w:t>致：</w:t>
      </w:r>
      <w:r>
        <w:rPr>
          <w:rFonts w:hint="eastAsia" w:ascii="仿宋" w:hAnsi="仿宋" w:eastAsia="仿宋" w:cs="Times New Roman"/>
          <w:b/>
          <w:bCs/>
          <w:sz w:val="28"/>
          <w:szCs w:val="28"/>
          <w:u w:val="single"/>
        </w:rPr>
        <w:t xml:space="preserve">                      </w:t>
      </w:r>
    </w:p>
    <w:p w14:paraId="7AFD420B">
      <w:pPr>
        <w:spacing w:line="480" w:lineRule="exact"/>
        <w:ind w:firstLine="610" w:firstLineChars="218"/>
        <w:contextualSpacing/>
        <w:jc w:val="left"/>
        <w:rPr>
          <w:rFonts w:ascii="仿宋" w:hAnsi="仿宋" w:eastAsia="仿宋" w:cs="Times New Roman"/>
          <w:sz w:val="28"/>
          <w:szCs w:val="28"/>
        </w:rPr>
      </w:pPr>
      <w:r>
        <w:rPr>
          <w:rFonts w:hint="eastAsia" w:ascii="仿宋" w:hAnsi="仿宋" w:eastAsia="仿宋" w:cs="Times New Roman"/>
          <w:sz w:val="28"/>
          <w:szCs w:val="28"/>
        </w:rPr>
        <w:t>我方参加贵单位组织</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项目的采购活动。我方在此郑重声明：</w:t>
      </w:r>
    </w:p>
    <w:p w14:paraId="63122518">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5D2A1F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2.我方不是为本次采购项目提供整体设计、规范编制或者项目管理、监理、检测等服务的供应商。</w:t>
      </w:r>
    </w:p>
    <w:p w14:paraId="2672B87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3.我方承诺符合《中华人民共和国政府采购法》第二十二条规定：</w:t>
      </w:r>
    </w:p>
    <w:p w14:paraId="18F52516">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（一）具有独立承担民事责任的能力；</w:t>
      </w:r>
    </w:p>
    <w:p w14:paraId="3FA37390">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（二）具有良好的商业信誉和健全的财务会计制度；</w:t>
      </w:r>
    </w:p>
    <w:p w14:paraId="1256B8DD">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（三）具有履行合同所必需的设备和专业技术能力；</w:t>
      </w:r>
    </w:p>
    <w:p w14:paraId="33DD0E6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（四）有依法缴纳税收和社会保障资金的良好记录；</w:t>
      </w:r>
    </w:p>
    <w:p w14:paraId="6F056C05">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（五）参加政府采购活动前三年内，在经营活动中没有重大违法记录；</w:t>
      </w:r>
    </w:p>
    <w:p w14:paraId="79BC39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（六）未被列入失信被执行人、重大税收违法失信主体、政府采购严重违法失信行为记录名单；</w:t>
      </w:r>
    </w:p>
    <w:p w14:paraId="36A032B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（七）法律、行政法规规定的其他条件。</w:t>
      </w:r>
    </w:p>
    <w:p w14:paraId="239B714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125692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1B9AF3A3">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669BDD91">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在五日内全部更换为全新原厂正品，并按合同总价的20%处以罚款，且承担由此引发的全部法律责任；情节严重者列入贵校招投标失信黑名单，2年内不能参加贵校的各类采购投标；</w:t>
      </w:r>
    </w:p>
    <w:p w14:paraId="42C6D3EC">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7.我方声明参加贵校采购项目公平竞争，不存在围标、串标、恶意低价竞争等违法行为，否则自愿承担取消资格、赔偿损失等后果。</w:t>
      </w:r>
    </w:p>
    <w:p w14:paraId="6DEEBB7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2BE3A063">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9.以上事项如有虚假或者隐瞒，我方愿意承担一切后果，并不再寻求任何旨在减轻或者免除法律责任的辩解。    特此承诺。</w:t>
      </w:r>
    </w:p>
    <w:p w14:paraId="1E768779">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29457812">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法定代表人或委托代理人(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p>
    <w:p w14:paraId="5D407FD0">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0022062F">
      <w:pPr>
        <w:jc w:val="left"/>
        <w:outlineLvl w:val="1"/>
        <w:rPr>
          <w:rFonts w:ascii="仿宋" w:hAnsi="仿宋" w:eastAsia="仿宋" w:cs="Times New Roman"/>
          <w:b/>
          <w:sz w:val="36"/>
          <w:szCs w:val="21"/>
        </w:rPr>
      </w:pPr>
    </w:p>
    <w:p w14:paraId="3217FA86">
      <w:pPr>
        <w:spacing w:line="360" w:lineRule="auto"/>
        <w:ind w:left="0" w:leftChars="0" w:firstLine="0" w:firstLineChars="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b/>
          <w:color w:val="auto"/>
          <w:sz w:val="24"/>
          <w:szCs w:val="24"/>
          <w:highlight w:val="none"/>
          <w:lang w:val="en-US" w:eastAsia="zh-CN"/>
        </w:rPr>
        <w:t>注：报价人的报价</w:t>
      </w:r>
      <w:r>
        <w:rPr>
          <w:rFonts w:hint="eastAsia" w:asciiTheme="majorEastAsia" w:hAnsiTheme="majorEastAsia" w:eastAsiaTheme="majorEastAsia" w:cstheme="majorEastAsia"/>
          <w:b/>
          <w:color w:val="auto"/>
          <w:sz w:val="24"/>
          <w:szCs w:val="24"/>
          <w:highlight w:val="none"/>
        </w:rPr>
        <w:t>声明必须由法定代表人或委托代理人在规定签章处签字并加盖</w:t>
      </w:r>
      <w:r>
        <w:rPr>
          <w:rFonts w:hint="eastAsia" w:asciiTheme="majorEastAsia" w:hAnsiTheme="majorEastAsia" w:eastAsiaTheme="majorEastAsia" w:cstheme="majorEastAsia"/>
          <w:b/>
          <w:color w:val="auto"/>
          <w:sz w:val="24"/>
          <w:szCs w:val="24"/>
          <w:highlight w:val="none"/>
          <w:lang w:val="en-US" w:eastAsia="zh-CN"/>
        </w:rPr>
        <w:t>报价人</w:t>
      </w:r>
      <w:r>
        <w:rPr>
          <w:rFonts w:hint="eastAsia" w:asciiTheme="majorEastAsia" w:hAnsiTheme="majorEastAsia" w:eastAsiaTheme="majorEastAsia" w:cstheme="majorEastAsia"/>
          <w:b/>
          <w:color w:val="auto"/>
          <w:sz w:val="24"/>
          <w:szCs w:val="24"/>
          <w:highlight w:val="none"/>
        </w:rPr>
        <w:t>公章，否则响应文件按无效响应处理。</w:t>
      </w:r>
    </w:p>
    <w:p w14:paraId="61F8F00E">
      <w:pPr>
        <w:jc w:val="left"/>
        <w:outlineLvl w:val="1"/>
        <w:rPr>
          <w:rFonts w:ascii="仿宋" w:hAnsi="仿宋" w:eastAsia="仿宋" w:cs="Times New Roman"/>
          <w:b/>
          <w:sz w:val="36"/>
          <w:szCs w:val="21"/>
        </w:rPr>
      </w:pPr>
    </w:p>
    <w:p w14:paraId="2C55C081">
      <w:pPr>
        <w:jc w:val="left"/>
        <w:outlineLvl w:val="1"/>
        <w:rPr>
          <w:rFonts w:ascii="仿宋" w:hAnsi="仿宋" w:eastAsia="仿宋" w:cs="Times New Roman"/>
          <w:b/>
          <w:sz w:val="36"/>
          <w:szCs w:val="21"/>
        </w:rPr>
      </w:pPr>
    </w:p>
    <w:p w14:paraId="3A0A8131">
      <w:pPr>
        <w:jc w:val="left"/>
        <w:outlineLvl w:val="1"/>
        <w:rPr>
          <w:rFonts w:ascii="仿宋" w:hAnsi="仿宋" w:eastAsia="仿宋" w:cs="Times New Roman"/>
          <w:b/>
          <w:sz w:val="36"/>
          <w:szCs w:val="21"/>
        </w:rPr>
      </w:pPr>
    </w:p>
    <w:p w14:paraId="7216DD04">
      <w:pPr>
        <w:jc w:val="left"/>
        <w:outlineLvl w:val="1"/>
        <w:rPr>
          <w:rFonts w:ascii="仿宋" w:hAnsi="仿宋" w:eastAsia="仿宋" w:cs="Times New Roman"/>
          <w:b/>
          <w:sz w:val="36"/>
          <w:szCs w:val="21"/>
        </w:rPr>
      </w:pPr>
    </w:p>
    <w:p w14:paraId="250E76F4">
      <w:pPr>
        <w:jc w:val="left"/>
        <w:outlineLvl w:val="1"/>
        <w:rPr>
          <w:rFonts w:hint="eastAsia"/>
          <w:sz w:val="32"/>
          <w:szCs w:val="32"/>
        </w:rPr>
      </w:pPr>
    </w:p>
    <w:p w14:paraId="6D9A7F2F">
      <w:pPr>
        <w:jc w:val="left"/>
        <w:outlineLvl w:val="1"/>
        <w:rPr>
          <w:rFonts w:hint="eastAsia"/>
          <w:sz w:val="32"/>
          <w:szCs w:val="32"/>
        </w:rPr>
      </w:pPr>
    </w:p>
    <w:p w14:paraId="1FD6A88F">
      <w:pPr>
        <w:jc w:val="left"/>
        <w:outlineLvl w:val="1"/>
        <w:rPr>
          <w:rFonts w:hint="eastAsia"/>
          <w:sz w:val="32"/>
          <w:szCs w:val="32"/>
        </w:rPr>
      </w:pPr>
    </w:p>
    <w:p w14:paraId="481BB08E">
      <w:pPr>
        <w:jc w:val="left"/>
        <w:outlineLvl w:val="1"/>
        <w:rPr>
          <w:rFonts w:hint="eastAsia"/>
          <w:sz w:val="32"/>
          <w:szCs w:val="32"/>
        </w:rPr>
      </w:pPr>
    </w:p>
    <w:p w14:paraId="1654F867">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4.</w:t>
      </w:r>
      <w:r>
        <w:rPr>
          <w:rFonts w:hint="eastAsia" w:ascii="仿宋" w:hAnsi="仿宋" w:eastAsia="仿宋" w:cs="Times New Roman"/>
          <w:b/>
          <w:sz w:val="32"/>
          <w:szCs w:val="32"/>
        </w:rPr>
        <w:t>无围标串标行为的承诺格式</w:t>
      </w:r>
    </w:p>
    <w:p w14:paraId="15694F5A">
      <w:pPr>
        <w:snapToGrid w:val="0"/>
        <w:spacing w:before="312" w:beforeLines="100" w:after="312" w:afterLines="100" w:line="360" w:lineRule="auto"/>
        <w:jc w:val="center"/>
        <w:rPr>
          <w:b/>
          <w:sz w:val="32"/>
          <w:szCs w:val="32"/>
        </w:rPr>
      </w:pPr>
      <w:r>
        <w:rPr>
          <w:rFonts w:hint="eastAsia"/>
          <w:b/>
          <w:sz w:val="32"/>
          <w:szCs w:val="32"/>
        </w:rPr>
        <w:t>无围标串标行为的承诺函</w:t>
      </w:r>
    </w:p>
    <w:p w14:paraId="6FF6B1C5">
      <w:pPr>
        <w:spacing w:line="360" w:lineRule="auto"/>
        <w:contextualSpacing/>
        <w:rPr>
          <w:rFonts w:ascii="仿宋" w:hAnsi="仿宋"/>
          <w:b/>
          <w:sz w:val="28"/>
          <w:szCs w:val="30"/>
        </w:rPr>
      </w:pPr>
      <w:r>
        <w:rPr>
          <w:rFonts w:hint="eastAsia" w:ascii="仿宋" w:hAnsi="仿宋"/>
          <w:b/>
          <w:sz w:val="28"/>
          <w:szCs w:val="30"/>
        </w:rPr>
        <w:t>一、我方承诺无下列相互串通投标的情形：</w:t>
      </w:r>
    </w:p>
    <w:p w14:paraId="64F7A33C">
      <w:pPr>
        <w:spacing w:line="360" w:lineRule="auto"/>
        <w:ind w:firstLine="548" w:firstLineChars="196"/>
        <w:contextualSpacing/>
        <w:rPr>
          <w:rFonts w:ascii="仿宋" w:hAnsi="仿宋"/>
          <w:sz w:val="28"/>
          <w:szCs w:val="30"/>
        </w:rPr>
      </w:pPr>
      <w:r>
        <w:rPr>
          <w:rFonts w:hint="eastAsia" w:ascii="仿宋" w:hAnsi="仿宋"/>
          <w:sz w:val="28"/>
          <w:szCs w:val="30"/>
        </w:rPr>
        <w:t xml:space="preserve">1.不同报价人的投标文件由同一单位或者个人编制； </w:t>
      </w:r>
    </w:p>
    <w:p w14:paraId="2806931F">
      <w:pPr>
        <w:spacing w:line="360" w:lineRule="auto"/>
        <w:ind w:firstLine="548" w:firstLineChars="196"/>
        <w:contextualSpacing/>
        <w:rPr>
          <w:rFonts w:ascii="仿宋" w:hAnsi="仿宋"/>
          <w:sz w:val="28"/>
          <w:szCs w:val="30"/>
        </w:rPr>
      </w:pPr>
      <w:r>
        <w:rPr>
          <w:rFonts w:hint="eastAsia" w:ascii="仿宋" w:hAnsi="仿宋"/>
          <w:sz w:val="28"/>
          <w:szCs w:val="30"/>
        </w:rPr>
        <w:t>2.不同报价人委托同一单位或者个人办理投标事宜；</w:t>
      </w:r>
    </w:p>
    <w:p w14:paraId="2C92B4F4">
      <w:pPr>
        <w:spacing w:line="360" w:lineRule="auto"/>
        <w:ind w:firstLine="548" w:firstLineChars="196"/>
        <w:contextualSpacing/>
        <w:rPr>
          <w:rFonts w:ascii="仿宋" w:hAnsi="仿宋"/>
          <w:sz w:val="28"/>
          <w:szCs w:val="30"/>
        </w:rPr>
      </w:pPr>
      <w:r>
        <w:rPr>
          <w:rFonts w:hint="eastAsia" w:ascii="仿宋" w:hAnsi="仿宋"/>
          <w:sz w:val="28"/>
          <w:szCs w:val="30"/>
        </w:rPr>
        <w:t>3.不同报价人的报价文件载明的项目管理员为同一个人；</w:t>
      </w:r>
    </w:p>
    <w:p w14:paraId="732FC32A">
      <w:pPr>
        <w:spacing w:line="360" w:lineRule="auto"/>
        <w:ind w:firstLine="548" w:firstLineChars="196"/>
        <w:contextualSpacing/>
        <w:rPr>
          <w:rFonts w:ascii="仿宋" w:hAnsi="仿宋"/>
          <w:sz w:val="28"/>
          <w:szCs w:val="30"/>
        </w:rPr>
      </w:pPr>
      <w:r>
        <w:rPr>
          <w:rFonts w:hint="eastAsia" w:ascii="仿宋" w:hAnsi="仿宋"/>
          <w:sz w:val="28"/>
          <w:szCs w:val="30"/>
        </w:rPr>
        <w:t>4.不同报价人的报价文件异常一致或者投标报价呈规律性差异；</w:t>
      </w:r>
    </w:p>
    <w:p w14:paraId="32536EC8">
      <w:pPr>
        <w:spacing w:line="360" w:lineRule="auto"/>
        <w:ind w:firstLine="548" w:firstLineChars="196"/>
        <w:contextualSpacing/>
        <w:rPr>
          <w:rFonts w:ascii="仿宋" w:hAnsi="仿宋"/>
          <w:sz w:val="28"/>
          <w:szCs w:val="30"/>
        </w:rPr>
      </w:pPr>
      <w:r>
        <w:rPr>
          <w:rFonts w:hint="eastAsia" w:ascii="仿宋" w:hAnsi="仿宋"/>
          <w:sz w:val="28"/>
          <w:szCs w:val="30"/>
        </w:rPr>
        <w:t>5.不同报价人的报价文件相互混装；</w:t>
      </w:r>
    </w:p>
    <w:p w14:paraId="4EA96339">
      <w:pPr>
        <w:spacing w:line="360" w:lineRule="auto"/>
        <w:contextualSpacing/>
        <w:rPr>
          <w:rFonts w:ascii="仿宋" w:hAnsi="仿宋"/>
          <w:sz w:val="28"/>
          <w:szCs w:val="30"/>
        </w:rPr>
      </w:pPr>
      <w:r>
        <w:rPr>
          <w:rFonts w:hint="eastAsia" w:ascii="仿宋" w:hAnsi="仿宋"/>
          <w:b/>
          <w:sz w:val="28"/>
          <w:szCs w:val="30"/>
        </w:rPr>
        <w:t>二、我方承诺无下列恶意串通的情形：</w:t>
      </w:r>
    </w:p>
    <w:p w14:paraId="2F9E0551">
      <w:pPr>
        <w:spacing w:line="360" w:lineRule="auto"/>
        <w:ind w:firstLine="548" w:firstLineChars="196"/>
        <w:contextualSpacing/>
        <w:rPr>
          <w:rFonts w:ascii="仿宋" w:hAnsi="仿宋"/>
          <w:sz w:val="28"/>
          <w:szCs w:val="30"/>
        </w:rPr>
      </w:pPr>
      <w:r>
        <w:rPr>
          <w:rFonts w:hint="eastAsia" w:ascii="仿宋" w:hAnsi="仿宋"/>
          <w:sz w:val="28"/>
          <w:szCs w:val="30"/>
        </w:rPr>
        <w:t>1.报价人直接或者间接从采购人处获得其他报价人的相关信息并修改其报价文件或者响应文件；</w:t>
      </w:r>
    </w:p>
    <w:p w14:paraId="5CDDC4A0">
      <w:pPr>
        <w:spacing w:line="360" w:lineRule="auto"/>
        <w:ind w:firstLine="548" w:firstLineChars="196"/>
        <w:contextualSpacing/>
        <w:rPr>
          <w:rFonts w:ascii="仿宋" w:hAnsi="仿宋"/>
          <w:sz w:val="28"/>
          <w:szCs w:val="30"/>
        </w:rPr>
      </w:pPr>
      <w:r>
        <w:rPr>
          <w:rFonts w:hint="eastAsia" w:ascii="仿宋" w:hAnsi="仿宋"/>
          <w:sz w:val="28"/>
          <w:szCs w:val="30"/>
        </w:rPr>
        <w:t>2.报价人按照采购人的授意撤换、修改报价文件或者响应文件；</w:t>
      </w:r>
    </w:p>
    <w:p w14:paraId="3F1C1D93">
      <w:pPr>
        <w:spacing w:line="360" w:lineRule="auto"/>
        <w:ind w:firstLine="548" w:firstLineChars="196"/>
        <w:contextualSpacing/>
        <w:rPr>
          <w:rFonts w:ascii="仿宋" w:hAnsi="仿宋"/>
          <w:sz w:val="28"/>
          <w:szCs w:val="30"/>
        </w:rPr>
      </w:pPr>
      <w:r>
        <w:rPr>
          <w:rFonts w:hint="eastAsia" w:ascii="仿宋" w:hAnsi="仿宋"/>
          <w:sz w:val="28"/>
          <w:szCs w:val="30"/>
        </w:rPr>
        <w:t>3.报价人之间协商报价、技术方案等报价文件或者响应文件的实质性内容；</w:t>
      </w:r>
    </w:p>
    <w:p w14:paraId="649A9BD6">
      <w:pPr>
        <w:spacing w:line="360" w:lineRule="auto"/>
        <w:ind w:firstLine="548" w:firstLineChars="196"/>
        <w:contextualSpacing/>
        <w:rPr>
          <w:rFonts w:ascii="仿宋" w:hAnsi="仿宋"/>
          <w:sz w:val="28"/>
          <w:szCs w:val="30"/>
        </w:rPr>
      </w:pPr>
      <w:r>
        <w:rPr>
          <w:rFonts w:hint="eastAsia" w:ascii="仿宋" w:hAnsi="仿宋"/>
          <w:sz w:val="28"/>
          <w:szCs w:val="30"/>
        </w:rPr>
        <w:t>4.属于同一集团、协会、商会等组织成员的报价人按照该组织要求协同参加采购活动；</w:t>
      </w:r>
    </w:p>
    <w:p w14:paraId="1C7A610F">
      <w:pPr>
        <w:spacing w:line="360" w:lineRule="auto"/>
        <w:ind w:firstLine="548" w:firstLineChars="196"/>
        <w:contextualSpacing/>
        <w:rPr>
          <w:rFonts w:ascii="仿宋" w:hAnsi="仿宋"/>
          <w:sz w:val="28"/>
          <w:szCs w:val="30"/>
        </w:rPr>
      </w:pPr>
      <w:r>
        <w:rPr>
          <w:rFonts w:hint="eastAsia" w:ascii="仿宋" w:hAnsi="仿宋"/>
          <w:sz w:val="28"/>
          <w:szCs w:val="30"/>
        </w:rPr>
        <w:t>5.报价人之间事先约定一致抬高或者压低报价报价，或者在报价项目中事先约定轮流以高价位或者低价位中标，或者事先约定由某一特定报价人中标，然后再参加报价；</w:t>
      </w:r>
    </w:p>
    <w:p w14:paraId="47EE71C2">
      <w:pPr>
        <w:spacing w:line="360" w:lineRule="auto"/>
        <w:ind w:firstLine="548" w:firstLineChars="196"/>
        <w:contextualSpacing/>
        <w:rPr>
          <w:rFonts w:ascii="仿宋" w:hAnsi="仿宋"/>
          <w:sz w:val="28"/>
          <w:szCs w:val="30"/>
        </w:rPr>
      </w:pPr>
      <w:r>
        <w:rPr>
          <w:rFonts w:hint="eastAsia" w:ascii="仿宋" w:hAnsi="仿宋"/>
          <w:sz w:val="28"/>
          <w:szCs w:val="30"/>
        </w:rPr>
        <w:t>6.报价人之间商定部分报价人放弃参加采购活动或者放弃中标；</w:t>
      </w:r>
    </w:p>
    <w:p w14:paraId="4037AAB8">
      <w:pPr>
        <w:spacing w:line="360" w:lineRule="auto"/>
        <w:ind w:firstLine="548" w:firstLineChars="196"/>
        <w:contextualSpacing/>
        <w:rPr>
          <w:rFonts w:ascii="仿宋" w:hAnsi="仿宋"/>
          <w:sz w:val="28"/>
          <w:szCs w:val="30"/>
        </w:rPr>
      </w:pPr>
      <w:r>
        <w:rPr>
          <w:rFonts w:hint="eastAsia" w:ascii="仿宋" w:hAnsi="仿宋"/>
          <w:sz w:val="28"/>
          <w:szCs w:val="30"/>
        </w:rPr>
        <w:t>7.报价人与采购人之间、报价人相互之间，为谋求特定报价人中标或者排斥其他报价人的其他串通行为。</w:t>
      </w:r>
    </w:p>
    <w:p w14:paraId="429DFA36">
      <w:pPr>
        <w:spacing w:line="360" w:lineRule="auto"/>
        <w:ind w:firstLine="551" w:firstLineChars="196"/>
        <w:contextualSpacing/>
        <w:rPr>
          <w:rFonts w:ascii="仿宋" w:hAnsi="仿宋"/>
          <w:b/>
          <w:sz w:val="28"/>
          <w:szCs w:val="30"/>
        </w:rPr>
      </w:pPr>
      <w:r>
        <w:rPr>
          <w:rFonts w:hint="eastAsia" w:ascii="仿宋" w:hAnsi="仿宋"/>
          <w:b/>
          <w:sz w:val="28"/>
          <w:szCs w:val="30"/>
        </w:rPr>
        <w:t>以上情形一经核查属实，我方愿意承担一切后果，并不再寻求任何旨在减轻或者免除法律责任的辩解。</w:t>
      </w:r>
    </w:p>
    <w:p w14:paraId="087C6CC3">
      <w:pPr>
        <w:pStyle w:val="7"/>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46FB7219">
      <w:pPr>
        <w:pStyle w:val="7"/>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43A781D3">
      <w:pPr>
        <w:pStyle w:val="7"/>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748D586A">
      <w:pPr>
        <w:jc w:val="left"/>
        <w:outlineLvl w:val="1"/>
        <w:rPr>
          <w:rFonts w:hint="eastAsia" w:ascii="仿宋" w:hAnsi="仿宋" w:eastAsia="仿宋" w:cs="Times New Roman"/>
          <w:b/>
          <w:sz w:val="32"/>
          <w:szCs w:val="32"/>
          <w:lang w:val="en-US" w:eastAsia="zh-CN"/>
        </w:rPr>
      </w:pPr>
    </w:p>
    <w:p w14:paraId="63E00C22">
      <w:pPr>
        <w:jc w:val="left"/>
        <w:outlineLvl w:val="1"/>
        <w:rPr>
          <w:rFonts w:hint="eastAsia" w:ascii="仿宋" w:hAnsi="仿宋" w:eastAsia="仿宋" w:cs="Times New Roman"/>
          <w:b/>
          <w:sz w:val="32"/>
          <w:szCs w:val="32"/>
          <w:lang w:val="en-US" w:eastAsia="zh-CN"/>
        </w:rPr>
      </w:pPr>
    </w:p>
    <w:p w14:paraId="5E6729D6">
      <w:pPr>
        <w:jc w:val="left"/>
        <w:outlineLvl w:val="1"/>
        <w:rPr>
          <w:rFonts w:hint="eastAsia" w:ascii="仿宋" w:hAnsi="仿宋" w:eastAsia="仿宋" w:cs="Times New Roman"/>
          <w:b/>
          <w:sz w:val="32"/>
          <w:szCs w:val="32"/>
          <w:lang w:val="en-US" w:eastAsia="zh-CN"/>
        </w:rPr>
      </w:pPr>
    </w:p>
    <w:p w14:paraId="68EA2355">
      <w:pPr>
        <w:jc w:val="left"/>
        <w:outlineLvl w:val="1"/>
        <w:rPr>
          <w:rFonts w:hint="eastAsia" w:ascii="仿宋" w:hAnsi="仿宋" w:eastAsia="仿宋" w:cs="Times New Roman"/>
          <w:b/>
          <w:sz w:val="32"/>
          <w:szCs w:val="32"/>
          <w:lang w:val="en-US" w:eastAsia="zh-CN"/>
        </w:rPr>
      </w:pPr>
    </w:p>
    <w:p w14:paraId="467BB011">
      <w:pPr>
        <w:jc w:val="left"/>
        <w:outlineLvl w:val="1"/>
        <w:rPr>
          <w:rFonts w:hint="eastAsia" w:ascii="仿宋" w:hAnsi="仿宋" w:eastAsia="仿宋" w:cs="Times New Roman"/>
          <w:b/>
          <w:sz w:val="32"/>
          <w:szCs w:val="32"/>
          <w:lang w:val="en-US" w:eastAsia="zh-CN"/>
        </w:rPr>
      </w:pPr>
    </w:p>
    <w:p w14:paraId="57B3C765">
      <w:pPr>
        <w:jc w:val="left"/>
        <w:outlineLvl w:val="1"/>
        <w:rPr>
          <w:rFonts w:hint="eastAsia" w:ascii="仿宋" w:hAnsi="仿宋" w:eastAsia="仿宋" w:cs="Times New Roman"/>
          <w:b/>
          <w:sz w:val="32"/>
          <w:szCs w:val="32"/>
          <w:lang w:val="en-US" w:eastAsia="zh-CN"/>
        </w:rPr>
      </w:pPr>
    </w:p>
    <w:p w14:paraId="6FB6C2D4">
      <w:pPr>
        <w:jc w:val="left"/>
        <w:outlineLvl w:val="1"/>
        <w:rPr>
          <w:rFonts w:hint="eastAsia" w:ascii="仿宋" w:hAnsi="仿宋" w:eastAsia="仿宋" w:cs="Times New Roman"/>
          <w:b/>
          <w:sz w:val="32"/>
          <w:szCs w:val="32"/>
          <w:lang w:val="en-US" w:eastAsia="zh-CN"/>
        </w:rPr>
      </w:pPr>
    </w:p>
    <w:p w14:paraId="3A7652D6">
      <w:pPr>
        <w:jc w:val="left"/>
        <w:outlineLvl w:val="1"/>
        <w:rPr>
          <w:rFonts w:hint="eastAsia" w:ascii="仿宋" w:hAnsi="仿宋" w:eastAsia="仿宋" w:cs="Times New Roman"/>
          <w:b/>
          <w:sz w:val="32"/>
          <w:szCs w:val="32"/>
          <w:lang w:val="en-US" w:eastAsia="zh-CN"/>
        </w:rPr>
      </w:pPr>
    </w:p>
    <w:p w14:paraId="6EC9DD7F">
      <w:pPr>
        <w:jc w:val="left"/>
        <w:outlineLvl w:val="1"/>
        <w:rPr>
          <w:rFonts w:hint="eastAsia" w:ascii="仿宋" w:hAnsi="仿宋" w:eastAsia="仿宋" w:cs="Times New Roman"/>
          <w:b/>
          <w:sz w:val="32"/>
          <w:szCs w:val="32"/>
          <w:lang w:val="en-US" w:eastAsia="zh-CN"/>
        </w:rPr>
      </w:pPr>
    </w:p>
    <w:p w14:paraId="2025DDB8">
      <w:pPr>
        <w:jc w:val="left"/>
        <w:outlineLvl w:val="1"/>
        <w:rPr>
          <w:rFonts w:hint="eastAsia" w:ascii="仿宋" w:hAnsi="仿宋" w:eastAsia="仿宋" w:cs="Times New Roman"/>
          <w:b/>
          <w:sz w:val="32"/>
          <w:szCs w:val="32"/>
          <w:lang w:val="en-US" w:eastAsia="zh-CN"/>
        </w:rPr>
      </w:pPr>
    </w:p>
    <w:p w14:paraId="7B80F57A">
      <w:pPr>
        <w:jc w:val="left"/>
        <w:outlineLvl w:val="1"/>
        <w:rPr>
          <w:rFonts w:hint="eastAsia" w:ascii="仿宋" w:hAnsi="仿宋" w:eastAsia="仿宋" w:cs="Times New Roman"/>
          <w:b/>
          <w:sz w:val="32"/>
          <w:szCs w:val="32"/>
          <w:lang w:val="en-US" w:eastAsia="zh-CN"/>
        </w:rPr>
      </w:pPr>
    </w:p>
    <w:p w14:paraId="21D105D4">
      <w:pPr>
        <w:jc w:val="left"/>
        <w:outlineLvl w:val="1"/>
        <w:rPr>
          <w:rFonts w:hint="eastAsia" w:ascii="仿宋" w:hAnsi="仿宋" w:eastAsia="仿宋" w:cs="Times New Roman"/>
          <w:b/>
          <w:sz w:val="32"/>
          <w:szCs w:val="32"/>
          <w:lang w:val="en-US" w:eastAsia="zh-CN"/>
        </w:rPr>
      </w:pPr>
    </w:p>
    <w:p w14:paraId="46CB79E7">
      <w:pPr>
        <w:jc w:val="left"/>
        <w:outlineLvl w:val="1"/>
        <w:rPr>
          <w:rFonts w:hint="eastAsia" w:ascii="仿宋" w:hAnsi="仿宋" w:eastAsia="仿宋" w:cs="Times New Roman"/>
          <w:b/>
          <w:sz w:val="32"/>
          <w:szCs w:val="32"/>
          <w:lang w:val="en-US" w:eastAsia="zh-CN"/>
        </w:rPr>
      </w:pPr>
    </w:p>
    <w:p w14:paraId="292B5808">
      <w:pPr>
        <w:jc w:val="left"/>
        <w:outlineLvl w:val="1"/>
        <w:rPr>
          <w:rFonts w:hint="eastAsia" w:ascii="仿宋" w:hAnsi="仿宋" w:eastAsia="仿宋" w:cs="Times New Roman"/>
          <w:b/>
          <w:sz w:val="32"/>
          <w:szCs w:val="32"/>
          <w:lang w:val="en-US" w:eastAsia="zh-CN"/>
        </w:rPr>
      </w:pPr>
    </w:p>
    <w:p w14:paraId="549931DD">
      <w:pPr>
        <w:jc w:val="left"/>
        <w:outlineLvl w:val="1"/>
        <w:rPr>
          <w:rFonts w:hint="eastAsia" w:ascii="仿宋" w:hAnsi="仿宋" w:eastAsia="仿宋" w:cs="Times New Roman"/>
          <w:b/>
          <w:sz w:val="32"/>
          <w:szCs w:val="32"/>
          <w:lang w:val="en-US" w:eastAsia="zh-CN"/>
        </w:rPr>
      </w:pPr>
    </w:p>
    <w:p w14:paraId="3F91E9BC">
      <w:pPr>
        <w:jc w:val="left"/>
        <w:outlineLvl w:val="1"/>
        <w:rPr>
          <w:rFonts w:hint="eastAsia" w:ascii="仿宋" w:hAnsi="仿宋" w:eastAsia="仿宋" w:cs="Times New Roman"/>
          <w:b/>
          <w:sz w:val="32"/>
          <w:szCs w:val="32"/>
          <w:lang w:val="en-US" w:eastAsia="zh-CN"/>
        </w:rPr>
      </w:pPr>
    </w:p>
    <w:p w14:paraId="4E50EA4A">
      <w:pPr>
        <w:jc w:val="left"/>
        <w:outlineLvl w:val="1"/>
        <w:rPr>
          <w:rFonts w:hint="eastAsia" w:ascii="仿宋" w:hAnsi="仿宋" w:eastAsia="仿宋" w:cs="Times New Roman"/>
          <w:b/>
          <w:sz w:val="32"/>
          <w:szCs w:val="32"/>
          <w:lang w:val="en-US" w:eastAsia="zh-CN"/>
        </w:rPr>
      </w:pPr>
    </w:p>
    <w:p w14:paraId="0D31B969">
      <w:pPr>
        <w:jc w:val="left"/>
        <w:outlineLvl w:val="1"/>
        <w:rPr>
          <w:rFonts w:hint="eastAsia" w:ascii="仿宋" w:hAnsi="仿宋" w:eastAsia="仿宋" w:cs="Times New Roman"/>
          <w:b/>
          <w:sz w:val="32"/>
          <w:szCs w:val="32"/>
          <w:lang w:val="en-US" w:eastAsia="zh-CN"/>
        </w:rPr>
      </w:pPr>
    </w:p>
    <w:p w14:paraId="354CAC2A">
      <w:pPr>
        <w:jc w:val="left"/>
        <w:outlineLvl w:val="1"/>
        <w:rPr>
          <w:rFonts w:hint="eastAsia" w:ascii="仿宋" w:hAnsi="仿宋" w:eastAsia="仿宋" w:cs="Times New Roman"/>
          <w:b/>
          <w:sz w:val="32"/>
          <w:szCs w:val="32"/>
          <w:lang w:val="en-US" w:eastAsia="zh-CN"/>
        </w:rPr>
      </w:pPr>
    </w:p>
    <w:p w14:paraId="71AF18F1">
      <w:pPr>
        <w:jc w:val="left"/>
        <w:outlineLvl w:val="1"/>
        <w:rPr>
          <w:rFonts w:hint="eastAsia" w:ascii="仿宋" w:hAnsi="仿宋" w:eastAsia="仿宋" w:cs="Times New Roman"/>
          <w:b/>
          <w:sz w:val="32"/>
          <w:szCs w:val="32"/>
          <w:lang w:val="en-US" w:eastAsia="zh-CN"/>
        </w:rPr>
      </w:pPr>
    </w:p>
    <w:p w14:paraId="30AC78BD">
      <w:pPr>
        <w:jc w:val="left"/>
        <w:outlineLvl w:val="1"/>
        <w:rPr>
          <w:rFonts w:hint="eastAsia" w:ascii="仿宋" w:hAnsi="仿宋" w:eastAsia="仿宋" w:cs="Times New Roman"/>
          <w:b/>
          <w:sz w:val="32"/>
          <w:szCs w:val="32"/>
          <w:lang w:val="en-US" w:eastAsia="zh-CN"/>
        </w:rPr>
      </w:pPr>
    </w:p>
    <w:p w14:paraId="0DE8EA80">
      <w:pPr>
        <w:jc w:val="left"/>
        <w:outlineLvl w:val="1"/>
        <w:rPr>
          <w:rFonts w:hint="eastAsia" w:ascii="仿宋" w:hAnsi="仿宋" w:eastAsia="仿宋" w:cs="Times New Roman"/>
          <w:b/>
          <w:sz w:val="32"/>
          <w:szCs w:val="32"/>
          <w:lang w:val="en-US" w:eastAsia="zh-CN"/>
        </w:rPr>
      </w:pPr>
    </w:p>
    <w:p w14:paraId="46530441">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5.</w:t>
      </w:r>
      <w:r>
        <w:rPr>
          <w:rFonts w:hint="eastAsia" w:ascii="仿宋" w:hAnsi="仿宋" w:eastAsia="仿宋" w:cs="Times New Roman"/>
          <w:b/>
          <w:sz w:val="32"/>
          <w:szCs w:val="32"/>
        </w:rPr>
        <w:t>有效主体资格证明(如营业执照、事业单位法人证书、执业许可证、自然人身份证等)</w:t>
      </w:r>
    </w:p>
    <w:p w14:paraId="103FE303">
      <w:pPr>
        <w:jc w:val="left"/>
        <w:outlineLvl w:val="1"/>
        <w:rPr>
          <w:rFonts w:ascii="仿宋" w:hAnsi="仿宋" w:eastAsia="仿宋" w:cs="Times New Roman"/>
          <w:b/>
          <w:sz w:val="36"/>
          <w:szCs w:val="21"/>
        </w:rPr>
      </w:pPr>
    </w:p>
    <w:p w14:paraId="1958855C">
      <w:pPr>
        <w:jc w:val="left"/>
        <w:outlineLvl w:val="1"/>
        <w:rPr>
          <w:rFonts w:ascii="仿宋" w:hAnsi="仿宋" w:eastAsia="仿宋" w:cs="Times New Roman"/>
          <w:b/>
          <w:sz w:val="36"/>
          <w:szCs w:val="21"/>
        </w:rPr>
      </w:pPr>
    </w:p>
    <w:p w14:paraId="79754C7B">
      <w:pPr>
        <w:pStyle w:val="6"/>
      </w:pPr>
    </w:p>
    <w:p w14:paraId="24C96315">
      <w:pPr>
        <w:pStyle w:val="6"/>
      </w:pPr>
    </w:p>
    <w:p w14:paraId="7CC10187">
      <w:pPr>
        <w:pStyle w:val="6"/>
      </w:pPr>
    </w:p>
    <w:p w14:paraId="370F17FF">
      <w:pPr>
        <w:pStyle w:val="6"/>
      </w:pPr>
    </w:p>
    <w:p w14:paraId="4F49DCE2">
      <w:pPr>
        <w:pStyle w:val="6"/>
      </w:pPr>
    </w:p>
    <w:p w14:paraId="7C34005B">
      <w:pPr>
        <w:pStyle w:val="6"/>
      </w:pPr>
    </w:p>
    <w:p w14:paraId="5FFA4F5A">
      <w:pPr>
        <w:pStyle w:val="6"/>
      </w:pPr>
    </w:p>
    <w:p w14:paraId="1CDE2E9F">
      <w:pPr>
        <w:pStyle w:val="6"/>
      </w:pPr>
    </w:p>
    <w:p w14:paraId="76D15524">
      <w:pPr>
        <w:pStyle w:val="6"/>
      </w:pPr>
    </w:p>
    <w:p w14:paraId="134DBBD8">
      <w:pPr>
        <w:pStyle w:val="6"/>
      </w:pPr>
    </w:p>
    <w:p w14:paraId="67CE7340">
      <w:pPr>
        <w:pStyle w:val="6"/>
      </w:pPr>
    </w:p>
    <w:p w14:paraId="1550FC44">
      <w:pPr>
        <w:pStyle w:val="6"/>
      </w:pPr>
    </w:p>
    <w:p w14:paraId="30B538CD">
      <w:pPr>
        <w:pStyle w:val="6"/>
      </w:pPr>
    </w:p>
    <w:p w14:paraId="6CB70454">
      <w:pPr>
        <w:pStyle w:val="6"/>
      </w:pPr>
    </w:p>
    <w:p w14:paraId="1EC58313">
      <w:pPr>
        <w:pStyle w:val="6"/>
      </w:pPr>
    </w:p>
    <w:p w14:paraId="46995F7F">
      <w:pPr>
        <w:pStyle w:val="6"/>
      </w:pPr>
    </w:p>
    <w:p w14:paraId="30CE1280">
      <w:pPr>
        <w:pStyle w:val="6"/>
      </w:pPr>
    </w:p>
    <w:p w14:paraId="6CC6FFA9">
      <w:pPr>
        <w:pStyle w:val="6"/>
      </w:pPr>
    </w:p>
    <w:p w14:paraId="19034583">
      <w:pPr>
        <w:pStyle w:val="6"/>
      </w:pPr>
    </w:p>
    <w:p w14:paraId="2001A37E">
      <w:pPr>
        <w:pStyle w:val="6"/>
      </w:pPr>
    </w:p>
    <w:p w14:paraId="64B814F5">
      <w:pPr>
        <w:pStyle w:val="6"/>
      </w:pPr>
    </w:p>
    <w:p w14:paraId="05E0F8B1">
      <w:pPr>
        <w:pStyle w:val="6"/>
      </w:pPr>
    </w:p>
    <w:p w14:paraId="6754634D">
      <w:pPr>
        <w:pStyle w:val="6"/>
      </w:pPr>
    </w:p>
    <w:p w14:paraId="2BA112F2">
      <w:pPr>
        <w:pStyle w:val="6"/>
      </w:pPr>
    </w:p>
    <w:p w14:paraId="3B412973">
      <w:pPr>
        <w:pStyle w:val="6"/>
      </w:pPr>
    </w:p>
    <w:p w14:paraId="0C4ACD0C">
      <w:pPr>
        <w:pStyle w:val="6"/>
      </w:pPr>
    </w:p>
    <w:p w14:paraId="2BD0605E">
      <w:pPr>
        <w:pStyle w:val="6"/>
      </w:pPr>
    </w:p>
    <w:p w14:paraId="291EC429">
      <w:pPr>
        <w:pStyle w:val="6"/>
      </w:pPr>
    </w:p>
    <w:p w14:paraId="7AEAFC8E">
      <w:pPr>
        <w:pStyle w:val="6"/>
      </w:pPr>
    </w:p>
    <w:p w14:paraId="6ECE1708">
      <w:pPr>
        <w:pStyle w:val="6"/>
      </w:pPr>
    </w:p>
    <w:p w14:paraId="7BE08999">
      <w:pPr>
        <w:pStyle w:val="6"/>
        <w:rPr>
          <w:rFonts w:ascii="仿宋" w:hAnsi="仿宋" w:eastAsia="仿宋"/>
          <w:b/>
          <w:sz w:val="32"/>
          <w:szCs w:val="32"/>
        </w:rPr>
      </w:pPr>
      <w:r>
        <w:rPr>
          <w:rFonts w:hint="eastAsia" w:ascii="仿宋" w:hAnsi="仿宋" w:eastAsia="仿宋"/>
          <w:b/>
          <w:sz w:val="32"/>
          <w:szCs w:val="32"/>
          <w:lang w:val="en-US" w:eastAsia="zh-CN"/>
        </w:rPr>
        <w:t>6</w:t>
      </w:r>
      <w:r>
        <w:rPr>
          <w:rFonts w:hint="eastAsia" w:ascii="仿宋" w:hAnsi="仿宋" w:eastAsia="仿宋"/>
          <w:b/>
          <w:sz w:val="32"/>
          <w:szCs w:val="32"/>
        </w:rPr>
        <w:t>.法定代表人身份证明</w:t>
      </w:r>
    </w:p>
    <w:p w14:paraId="51C9CC9B">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法定代表人身份证明</w:t>
      </w:r>
    </w:p>
    <w:p w14:paraId="5A528AE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7632603F">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05B210B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27D18C8E">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00B3E41">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E95C84C">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0192341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73C9861D">
      <w:pPr>
        <w:spacing w:line="360" w:lineRule="auto"/>
        <w:ind w:left="540"/>
        <w:jc w:val="left"/>
        <w:rPr>
          <w:rFonts w:ascii="仿宋" w:hAnsi="仿宋" w:eastAsia="仿宋" w:cs="Times New Roman"/>
          <w:sz w:val="30"/>
          <w:szCs w:val="30"/>
        </w:rPr>
      </w:pPr>
    </w:p>
    <w:p w14:paraId="3BC27ACB">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2B787C27">
      <w:pPr>
        <w:spacing w:line="360" w:lineRule="auto"/>
        <w:ind w:left="540"/>
        <w:jc w:val="left"/>
        <w:rPr>
          <w:rFonts w:ascii="仿宋" w:hAnsi="仿宋" w:eastAsia="仿宋" w:cs="Times New Roman"/>
          <w:sz w:val="30"/>
          <w:szCs w:val="30"/>
        </w:rPr>
      </w:pPr>
    </w:p>
    <w:p w14:paraId="3F5AC042">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0A64D1DF">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50EE636A">
      <w:pPr>
        <w:pStyle w:val="6"/>
      </w:pPr>
    </w:p>
    <w:p w14:paraId="67FF2980">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1DA11FAC">
      <w:pPr>
        <w:snapToGrid w:val="0"/>
        <w:spacing w:before="156" w:beforeLines="50" w:after="50" w:line="360" w:lineRule="auto"/>
        <w:jc w:val="center"/>
        <w:rPr>
          <w:rFonts w:ascii="仿宋" w:hAnsi="仿宋" w:eastAsia="仿宋" w:cs="Times New Roman"/>
          <w:b/>
          <w:sz w:val="30"/>
          <w:szCs w:val="30"/>
        </w:rPr>
      </w:pPr>
    </w:p>
    <w:p w14:paraId="5C7A43D3">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369458DB">
      <w:pPr>
        <w:rPr>
          <w:rFonts w:ascii="仿宋" w:hAnsi="仿宋" w:eastAsia="仿宋"/>
          <w:b/>
          <w:sz w:val="32"/>
          <w:szCs w:val="32"/>
        </w:rPr>
      </w:pPr>
      <w:r>
        <w:rPr>
          <w:rFonts w:eastAsia="黑体"/>
          <w:sz w:val="24"/>
        </w:rPr>
        <w:br w:type="page"/>
      </w:r>
      <w:r>
        <w:rPr>
          <w:rFonts w:hint="eastAsia" w:ascii="仿宋" w:hAnsi="仿宋" w:eastAsia="仿宋"/>
          <w:b/>
          <w:sz w:val="32"/>
          <w:szCs w:val="32"/>
          <w:lang w:val="en-US" w:eastAsia="zh-CN"/>
        </w:rPr>
        <w:t>7</w:t>
      </w:r>
      <w:r>
        <w:rPr>
          <w:rFonts w:hint="eastAsia" w:ascii="仿宋" w:hAnsi="仿宋" w:eastAsia="仿宋"/>
          <w:b/>
          <w:sz w:val="32"/>
          <w:szCs w:val="32"/>
        </w:rPr>
        <w:t>.授权委托书格式</w:t>
      </w:r>
    </w:p>
    <w:p w14:paraId="3ADDECBD">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授权委托书</w:t>
      </w:r>
    </w:p>
    <w:p w14:paraId="05DD6DA4">
      <w:pPr>
        <w:spacing w:line="500" w:lineRule="exact"/>
        <w:jc w:val="center"/>
        <w:rPr>
          <w:rFonts w:ascii="宋体" w:hAnsi="Times New Roman" w:eastAsia="仿宋" w:cs="Times New Roman"/>
          <w:sz w:val="28"/>
          <w:szCs w:val="28"/>
        </w:rPr>
      </w:pPr>
      <w:r>
        <w:rPr>
          <w:rFonts w:hint="eastAsia" w:ascii="宋体" w:hAnsi="Times New Roman" w:eastAsia="仿宋" w:cs="Times New Roman"/>
          <w:sz w:val="28"/>
          <w:szCs w:val="28"/>
        </w:rPr>
        <w:t>（如有委托时）</w:t>
      </w:r>
    </w:p>
    <w:p w14:paraId="7F42F741">
      <w:pPr>
        <w:spacing w:line="360" w:lineRule="auto"/>
        <w:contextualSpacing/>
        <w:jc w:val="left"/>
        <w:rPr>
          <w:rFonts w:ascii="仿宋" w:hAnsi="仿宋" w:eastAsia="仿宋" w:cs="Times New Roman"/>
          <w:b/>
          <w:sz w:val="28"/>
          <w:szCs w:val="28"/>
        </w:rPr>
      </w:pPr>
      <w:r>
        <w:rPr>
          <w:rFonts w:hint="eastAsia" w:ascii="仿宋" w:hAnsi="仿宋" w:eastAsia="仿宋" w:cs="Times New Roman"/>
          <w:b/>
          <w:sz w:val="28"/>
          <w:szCs w:val="28"/>
        </w:rPr>
        <w:t>致：</w:t>
      </w:r>
      <w:r>
        <w:rPr>
          <w:rFonts w:hint="eastAsia" w:ascii="仿宋" w:hAnsi="仿宋" w:eastAsia="仿宋" w:cs="Times New Roman"/>
          <w:b/>
          <w:sz w:val="28"/>
          <w:szCs w:val="28"/>
          <w:u w:val="single"/>
        </w:rPr>
        <w:t xml:space="preserve">                 </w:t>
      </w:r>
    </w:p>
    <w:p w14:paraId="25DD002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（姓名）系</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（报价人名称）的法定代表人，现授权委托</w:t>
      </w:r>
      <w:r>
        <w:rPr>
          <w:rFonts w:hint="eastAsia" w:ascii="仿宋" w:hAnsi="仿宋" w:eastAsia="仿宋" w:cs="Times New Roman"/>
          <w:sz w:val="28"/>
          <w:szCs w:val="28"/>
          <w:u w:val="single"/>
        </w:rPr>
        <w:t xml:space="preserve">              （姓名）</w:t>
      </w:r>
      <w:r>
        <w:rPr>
          <w:rFonts w:hint="eastAsia" w:ascii="仿宋" w:hAnsi="仿宋" w:eastAsia="仿宋" w:cs="Times New Roman"/>
          <w:sz w:val="28"/>
          <w:szCs w:val="28"/>
        </w:rPr>
        <w:t>以我方的名义参加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项目的投标活动，并代表我方全权办理针对上述项目的所有采购程序和环节的具体事务和签署相关文件。</w:t>
      </w:r>
    </w:p>
    <w:p w14:paraId="3B7CD2AB">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我方对委托代理人的签字或者电子签名事项负全部责任。</w:t>
      </w:r>
    </w:p>
    <w:p w14:paraId="5B1DA445">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u w:val="single"/>
        </w:rPr>
        <w:t>本授权书自签署之日起生效，在撤销授权的书面通知以前，本授权书一直有效。委托代理人在授权书有效期内签署的所有文件不因授权的撤销而失效。</w:t>
      </w:r>
    </w:p>
    <w:p w14:paraId="01E57B7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委托代理人无转委托权，特此委托。</w:t>
      </w:r>
    </w:p>
    <w:p w14:paraId="22505AAE">
      <w:pPr>
        <w:widowControl/>
        <w:spacing w:line="360" w:lineRule="auto"/>
        <w:jc w:val="left"/>
        <w:rPr>
          <w:rFonts w:ascii="仿宋" w:hAnsi="仿宋" w:eastAsia="仿宋" w:cs="Times New Roman"/>
          <w:b/>
          <w:bCs/>
          <w:sz w:val="28"/>
          <w:szCs w:val="28"/>
        </w:rPr>
      </w:pPr>
      <w:r>
        <w:rPr>
          <w:rFonts w:hint="eastAsia" w:ascii="仿宋" w:hAnsi="仿宋" w:eastAsia="仿宋" w:cs="Times New Roman"/>
          <w:b/>
          <w:bCs/>
          <w:sz w:val="28"/>
          <w:szCs w:val="28"/>
        </w:rPr>
        <w:t>附件：法定代表人身份证明书及委托代理人有效身份证正反面复印件</w:t>
      </w:r>
    </w:p>
    <w:p w14:paraId="4274D27E">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法定代表人（</w:t>
      </w:r>
      <w:r>
        <w:rPr>
          <w:rFonts w:hint="eastAsia" w:ascii="仿宋" w:hAnsi="仿宋" w:eastAsia="仿宋" w:cs="Times New Roman"/>
          <w:b/>
          <w:bCs/>
          <w:sz w:val="28"/>
          <w:szCs w:val="28"/>
        </w:rPr>
        <w:t>签字或者盖章</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p>
    <w:p w14:paraId="1A130D34">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w:t>
      </w:r>
    </w:p>
    <w:p w14:paraId="28A9B89F">
      <w:pPr>
        <w:widowControl/>
        <w:spacing w:line="360" w:lineRule="auto"/>
        <w:ind w:firstLine="560" w:firstLineChars="200"/>
        <w:jc w:val="left"/>
        <w:rPr>
          <w:rFonts w:ascii="仿宋" w:hAnsi="仿宋" w:eastAsia="仿宋" w:cs="Times New Roman"/>
          <w:sz w:val="28"/>
          <w:szCs w:val="28"/>
          <w:u w:val="single"/>
        </w:rPr>
      </w:pPr>
      <w:r>
        <w:rPr>
          <w:rFonts w:hint="eastAsia" w:ascii="仿宋" w:hAnsi="仿宋" w:eastAsia="仿宋" w:cs="Times New Roman"/>
          <w:sz w:val="28"/>
          <w:szCs w:val="28"/>
        </w:rPr>
        <w:t>委托代理人身份证号码：</w:t>
      </w:r>
      <w:r>
        <w:rPr>
          <w:rFonts w:hint="eastAsia" w:ascii="仿宋" w:hAnsi="仿宋" w:eastAsia="仿宋" w:cs="Times New Roman"/>
          <w:sz w:val="28"/>
          <w:szCs w:val="28"/>
          <w:u w:val="single"/>
        </w:rPr>
        <w:t xml:space="preserve">                       </w:t>
      </w:r>
    </w:p>
    <w:p w14:paraId="6BF4674D">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65D692AF">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4EA26E8B">
      <w:pPr>
        <w:spacing w:line="360" w:lineRule="auto"/>
        <w:contextualSpacing/>
        <w:jc w:val="left"/>
        <w:rPr>
          <w:rFonts w:ascii="仿宋" w:hAnsi="仿宋" w:eastAsia="仿宋" w:cs="仿宋_GB2312"/>
          <w:sz w:val="28"/>
          <w:szCs w:val="28"/>
        </w:rPr>
      </w:pPr>
      <w:r>
        <w:rPr>
          <w:rFonts w:hint="eastAsia" w:ascii="仿宋" w:hAnsi="仿宋" w:eastAsia="仿宋" w:cs="仿宋_GB2312"/>
          <w:sz w:val="28"/>
          <w:szCs w:val="28"/>
        </w:rPr>
        <w:t>注：</w:t>
      </w:r>
    </w:p>
    <w:p w14:paraId="1AC8DAD0">
      <w:pPr>
        <w:spacing w:line="360" w:lineRule="auto"/>
        <w:ind w:firstLine="560" w:firstLineChars="200"/>
        <w:contextualSpacing/>
        <w:jc w:val="left"/>
        <w:rPr>
          <w:rFonts w:ascii="仿宋" w:hAnsi="仿宋" w:eastAsia="仿宋" w:cs="仿宋_GB2312"/>
          <w:sz w:val="28"/>
          <w:szCs w:val="28"/>
        </w:rPr>
      </w:pPr>
      <w:r>
        <w:rPr>
          <w:rFonts w:hint="eastAsia" w:ascii="仿宋" w:hAnsi="仿宋" w:eastAsia="仿宋" w:cs="仿宋_GB2312"/>
          <w:sz w:val="28"/>
          <w:szCs w:val="28"/>
        </w:rPr>
        <w:t>1.</w:t>
      </w:r>
      <w:bookmarkStart w:id="3" w:name="_Hlk65851555"/>
      <w:bookmarkStart w:id="4" w:name="_Hlk65851620"/>
      <w:r>
        <w:rPr>
          <w:rFonts w:hint="eastAsia" w:ascii="仿宋" w:hAnsi="仿宋" w:eastAsia="仿宋" w:cs="仿宋_GB2312"/>
          <w:sz w:val="28"/>
          <w:szCs w:val="28"/>
        </w:rPr>
        <w:t>法定代表人必须在授权委托书上签字或者盖章，</w:t>
      </w:r>
      <w:bookmarkEnd w:id="3"/>
      <w:r>
        <w:rPr>
          <w:rFonts w:hint="eastAsia" w:ascii="仿宋" w:hAnsi="仿宋" w:eastAsia="仿宋" w:cs="仿宋_GB2312"/>
          <w:sz w:val="28"/>
          <w:szCs w:val="28"/>
        </w:rPr>
        <w:t>委托代理人必须在授权委托书上签字，</w:t>
      </w:r>
      <w:r>
        <w:rPr>
          <w:rFonts w:hint="eastAsia" w:ascii="仿宋" w:hAnsi="仿宋" w:eastAsia="仿宋" w:cs="仿宋_GB2312"/>
          <w:b/>
          <w:bCs/>
          <w:sz w:val="28"/>
          <w:szCs w:val="28"/>
        </w:rPr>
        <w:t>否则按无效投标处理</w:t>
      </w:r>
      <w:r>
        <w:rPr>
          <w:rFonts w:hint="eastAsia" w:ascii="仿宋" w:hAnsi="仿宋" w:eastAsia="仿宋" w:cs="仿宋_GB2312"/>
          <w:sz w:val="28"/>
          <w:szCs w:val="28"/>
        </w:rPr>
        <w:t>；</w:t>
      </w:r>
      <w:bookmarkEnd w:id="4"/>
    </w:p>
    <w:p w14:paraId="2735E20B">
      <w:pPr>
        <w:spacing w:line="360" w:lineRule="auto"/>
        <w:ind w:firstLine="560" w:firstLineChars="200"/>
        <w:contextualSpacing/>
        <w:jc w:val="left"/>
        <w:rPr>
          <w:rFonts w:ascii="宋体" w:hAnsi="Times New Roman" w:eastAsia="仿宋" w:cs="Times New Roman"/>
          <w:b/>
          <w:bCs/>
          <w:kern w:val="0"/>
          <w:sz w:val="28"/>
          <w:szCs w:val="28"/>
        </w:rPr>
      </w:pPr>
      <w:r>
        <w:rPr>
          <w:rFonts w:hint="eastAsia" w:ascii="仿宋" w:hAnsi="仿宋" w:eastAsia="仿宋" w:cs="仿宋_GB2312"/>
          <w:sz w:val="28"/>
          <w:szCs w:val="28"/>
        </w:rPr>
        <w:t>2.法人、其他组织投标时“我方”是指“我单位”，自然人投标时“我方”是指“本人”。</w:t>
      </w:r>
    </w:p>
    <w:p w14:paraId="4C924B99">
      <w:pPr>
        <w:pStyle w:val="6"/>
        <w:jc w:val="center"/>
        <w:rPr>
          <w:b/>
          <w:color w:val="FF0000"/>
        </w:rPr>
      </w:pPr>
    </w:p>
    <w:p w14:paraId="56C6DD38">
      <w:pPr>
        <w:pStyle w:val="6"/>
        <w:jc w:val="center"/>
        <w:rPr>
          <w:b/>
          <w:color w:val="FF0000"/>
        </w:rPr>
      </w:pPr>
    </w:p>
    <w:p w14:paraId="5089C3AD">
      <w:pPr>
        <w:pStyle w:val="6"/>
        <w:jc w:val="center"/>
        <w:rPr>
          <w:b/>
          <w:color w:val="FF0000"/>
        </w:rPr>
      </w:pPr>
    </w:p>
    <w:p w14:paraId="0D88FCB3">
      <w:pPr>
        <w:pStyle w:val="6"/>
        <w:jc w:val="center"/>
        <w:rPr>
          <w:b/>
          <w:color w:val="FF0000"/>
        </w:rPr>
      </w:pPr>
    </w:p>
    <w:p w14:paraId="439DAAC7">
      <w:pPr>
        <w:spacing w:after="120"/>
        <w:jc w:val="left"/>
        <w:rPr>
          <w:b/>
          <w:sz w:val="44"/>
          <w:szCs w:val="36"/>
        </w:rPr>
      </w:pPr>
      <w:r>
        <w:rPr>
          <w:rFonts w:hint="eastAsia"/>
          <w:b/>
          <w:sz w:val="44"/>
          <w:szCs w:val="36"/>
        </w:rPr>
        <w:t>二、商务技术文件格式</w:t>
      </w:r>
    </w:p>
    <w:p w14:paraId="43C06B31">
      <w:pPr>
        <w:rPr>
          <w:rFonts w:ascii="仿宋" w:hAnsi="仿宋" w:eastAsia="仿宋"/>
          <w:b/>
          <w:sz w:val="36"/>
          <w:szCs w:val="36"/>
        </w:rPr>
      </w:pPr>
      <w:r>
        <w:rPr>
          <w:rFonts w:hint="eastAsia"/>
          <w:b/>
          <w:sz w:val="28"/>
          <w:szCs w:val="24"/>
        </w:rPr>
        <w:t>1.</w:t>
      </w:r>
      <w:r>
        <w:rPr>
          <w:rFonts w:hint="eastAsia"/>
        </w:rPr>
        <w:t xml:space="preserve"> </w:t>
      </w:r>
      <w:r>
        <w:rPr>
          <w:rFonts w:ascii="仿宋" w:hAnsi="仿宋" w:eastAsia="仿宋"/>
          <w:b/>
          <w:sz w:val="36"/>
          <w:szCs w:val="36"/>
        </w:rPr>
        <w:t>报价表</w:t>
      </w:r>
    </w:p>
    <w:p w14:paraId="10788E53">
      <w:pPr>
        <w:spacing w:line="360" w:lineRule="exact"/>
        <w:jc w:val="left"/>
        <w:rPr>
          <w:rFonts w:ascii="仿宋" w:hAnsi="仿宋" w:eastAsia="仿宋"/>
          <w:b/>
          <w:sz w:val="44"/>
          <w:szCs w:val="44"/>
        </w:rPr>
      </w:pPr>
    </w:p>
    <w:p w14:paraId="40E6C2E7">
      <w:pPr>
        <w:spacing w:line="360" w:lineRule="exact"/>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p w14:paraId="3135740A">
      <w:pPr>
        <w:spacing w:after="120"/>
      </w:pPr>
    </w:p>
    <w:tbl>
      <w:tblPr>
        <w:tblStyle w:val="13"/>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394"/>
        <w:gridCol w:w="851"/>
        <w:gridCol w:w="850"/>
        <w:gridCol w:w="2835"/>
      </w:tblGrid>
      <w:tr w14:paraId="0537D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5CB45D70">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4394" w:type="dxa"/>
            <w:tcBorders>
              <w:top w:val="single" w:color="auto" w:sz="4" w:space="0"/>
              <w:left w:val="single" w:color="auto" w:sz="4" w:space="0"/>
              <w:bottom w:val="single" w:color="auto" w:sz="4" w:space="0"/>
              <w:right w:val="single" w:color="auto" w:sz="4" w:space="0"/>
            </w:tcBorders>
            <w:vAlign w:val="center"/>
          </w:tcPr>
          <w:p w14:paraId="50F57DEA">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851" w:type="dxa"/>
            <w:tcBorders>
              <w:top w:val="single" w:color="auto" w:sz="4" w:space="0"/>
              <w:left w:val="single" w:color="auto" w:sz="4" w:space="0"/>
              <w:bottom w:val="single" w:color="auto" w:sz="4" w:space="0"/>
              <w:right w:val="single" w:color="auto" w:sz="4" w:space="0"/>
            </w:tcBorders>
            <w:vAlign w:val="center"/>
          </w:tcPr>
          <w:p w14:paraId="694BDA25">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850" w:type="dxa"/>
            <w:tcBorders>
              <w:top w:val="single" w:color="auto" w:sz="4" w:space="0"/>
              <w:left w:val="single" w:color="auto" w:sz="4" w:space="0"/>
              <w:bottom w:val="single" w:color="auto" w:sz="4" w:space="0"/>
              <w:right w:val="single" w:color="auto" w:sz="4" w:space="0"/>
            </w:tcBorders>
            <w:vAlign w:val="center"/>
          </w:tcPr>
          <w:p w14:paraId="1F263670">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2835" w:type="dxa"/>
            <w:tcBorders>
              <w:top w:val="single" w:color="auto" w:sz="4" w:space="0"/>
              <w:left w:val="single" w:color="auto" w:sz="4" w:space="0"/>
              <w:bottom w:val="single" w:color="auto" w:sz="4" w:space="0"/>
              <w:right w:val="single" w:color="auto" w:sz="4" w:space="0"/>
            </w:tcBorders>
            <w:vAlign w:val="center"/>
          </w:tcPr>
          <w:p w14:paraId="50D49882">
            <w:pPr>
              <w:spacing w:line="360" w:lineRule="exact"/>
              <w:jc w:val="center"/>
              <w:rPr>
                <w:rFonts w:ascii="仿宋" w:hAnsi="仿宋" w:eastAsia="仿宋" w:cs="Arial"/>
                <w:bCs/>
                <w:sz w:val="30"/>
                <w:szCs w:val="30"/>
              </w:rPr>
            </w:pPr>
            <w:r>
              <w:rPr>
                <w:rFonts w:hint="eastAsia" w:ascii="仿宋" w:hAnsi="仿宋" w:eastAsia="仿宋" w:cs="Arial"/>
                <w:bCs/>
                <w:sz w:val="30"/>
                <w:szCs w:val="30"/>
                <w:lang w:val="en-US" w:eastAsia="zh-CN"/>
              </w:rPr>
              <w:t>让利率</w:t>
            </w:r>
            <w:r>
              <w:rPr>
                <w:rFonts w:ascii="仿宋" w:hAnsi="仿宋" w:eastAsia="仿宋" w:cs="Arial"/>
                <w:bCs/>
                <w:sz w:val="30"/>
                <w:szCs w:val="30"/>
              </w:rPr>
              <w:t>（</w:t>
            </w:r>
            <w:r>
              <w:rPr>
                <w:rFonts w:hint="eastAsia" w:ascii="仿宋" w:hAnsi="仿宋" w:eastAsia="仿宋" w:cs="Arial"/>
                <w:bCs/>
                <w:sz w:val="30"/>
                <w:szCs w:val="30"/>
                <w:lang w:val="en-US" w:eastAsia="zh-CN"/>
              </w:rPr>
              <w:t>%</w:t>
            </w:r>
            <w:r>
              <w:rPr>
                <w:rFonts w:ascii="仿宋" w:hAnsi="仿宋" w:eastAsia="仿宋" w:cs="Arial"/>
                <w:bCs/>
                <w:sz w:val="30"/>
                <w:szCs w:val="30"/>
              </w:rPr>
              <w:t>）</w:t>
            </w:r>
          </w:p>
        </w:tc>
      </w:tr>
      <w:tr w14:paraId="60AAA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4AE201E1">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4394" w:type="dxa"/>
            <w:tcBorders>
              <w:top w:val="single" w:color="auto" w:sz="4" w:space="0"/>
              <w:left w:val="single" w:color="auto" w:sz="4" w:space="0"/>
              <w:bottom w:val="single" w:color="auto" w:sz="4" w:space="0"/>
              <w:right w:val="single" w:color="auto" w:sz="4" w:space="0"/>
            </w:tcBorders>
            <w:vAlign w:val="center"/>
          </w:tcPr>
          <w:p w14:paraId="412669D6">
            <w:pPr>
              <w:widowControl/>
              <w:jc w:val="center"/>
              <w:textAlignment w:val="center"/>
              <w:rPr>
                <w:rFonts w:ascii="仿宋" w:hAnsi="仿宋" w:eastAsia="仿宋" w:cs="Arial"/>
                <w:bCs/>
                <w:sz w:val="30"/>
                <w:szCs w:val="30"/>
              </w:rPr>
            </w:pPr>
          </w:p>
        </w:tc>
        <w:tc>
          <w:tcPr>
            <w:tcW w:w="851" w:type="dxa"/>
            <w:tcBorders>
              <w:top w:val="single" w:color="auto" w:sz="4" w:space="0"/>
              <w:left w:val="single" w:color="auto" w:sz="4" w:space="0"/>
              <w:bottom w:val="single" w:color="auto" w:sz="4" w:space="0"/>
              <w:right w:val="single" w:color="auto" w:sz="4" w:space="0"/>
            </w:tcBorders>
            <w:vAlign w:val="center"/>
          </w:tcPr>
          <w:p w14:paraId="655DE653">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24819441">
            <w:pPr>
              <w:widowControl/>
              <w:jc w:val="center"/>
              <w:textAlignment w:val="center"/>
              <w:rPr>
                <w:rFonts w:ascii="仿宋" w:hAnsi="仿宋" w:eastAsia="仿宋" w:cs="Arial"/>
                <w:bCs/>
                <w:sz w:val="30"/>
                <w:szCs w:val="30"/>
              </w:rPr>
            </w:pPr>
          </w:p>
        </w:tc>
        <w:tc>
          <w:tcPr>
            <w:tcW w:w="2835" w:type="dxa"/>
            <w:tcBorders>
              <w:top w:val="single" w:color="auto" w:sz="4" w:space="0"/>
              <w:left w:val="single" w:color="auto" w:sz="4" w:space="0"/>
              <w:bottom w:val="single" w:color="auto" w:sz="4" w:space="0"/>
              <w:right w:val="single" w:color="auto" w:sz="4" w:space="0"/>
            </w:tcBorders>
            <w:vAlign w:val="center"/>
          </w:tcPr>
          <w:p w14:paraId="6D88F2B6">
            <w:pPr>
              <w:spacing w:line="360" w:lineRule="exact"/>
              <w:jc w:val="center"/>
              <w:rPr>
                <w:rFonts w:hint="eastAsia" w:ascii="仿宋" w:hAnsi="仿宋" w:eastAsia="仿宋" w:cs="Arial"/>
                <w:bCs/>
                <w:sz w:val="30"/>
                <w:szCs w:val="30"/>
                <w:lang w:val="en-US" w:eastAsia="zh-CN"/>
              </w:rPr>
            </w:pPr>
          </w:p>
        </w:tc>
      </w:tr>
      <w:tr w14:paraId="7B20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5"/>
            <w:tcBorders>
              <w:top w:val="single" w:color="auto" w:sz="4" w:space="0"/>
              <w:left w:val="single" w:color="auto" w:sz="4" w:space="0"/>
              <w:bottom w:val="single" w:color="auto" w:sz="4" w:space="0"/>
              <w:right w:val="single" w:color="auto" w:sz="4" w:space="0"/>
            </w:tcBorders>
            <w:vAlign w:val="center"/>
          </w:tcPr>
          <w:p w14:paraId="311F0F6A">
            <w:pPr>
              <w:pStyle w:val="5"/>
              <w:rPr>
                <w:rFonts w:hint="eastAsia" w:ascii="仿宋" w:hAnsi="仿宋" w:eastAsia="仿宋" w:cs="Arial"/>
                <w:bCs/>
                <w:kern w:val="2"/>
                <w:sz w:val="30"/>
                <w:szCs w:val="30"/>
                <w:lang w:val="en-US" w:eastAsia="zh-CN" w:bidi="ar-SA"/>
              </w:rPr>
            </w:pPr>
            <w:r>
              <w:rPr>
                <w:rFonts w:hint="eastAsia" w:ascii="仿宋" w:hAnsi="仿宋" w:eastAsia="仿宋" w:cs="Arial"/>
                <w:bCs/>
                <w:kern w:val="2"/>
                <w:sz w:val="30"/>
                <w:szCs w:val="30"/>
                <w:lang w:val="en-US" w:eastAsia="zh-CN" w:bidi="ar-SA"/>
              </w:rPr>
              <w:t>最终报价让利率</w:t>
            </w:r>
            <w:r>
              <w:rPr>
                <w:rFonts w:hint="eastAsia" w:ascii="仿宋" w:hAnsi="仿宋" w:eastAsia="仿宋" w:cs="Arial"/>
                <w:bCs/>
                <w:kern w:val="2"/>
                <w:sz w:val="30"/>
                <w:szCs w:val="30"/>
                <w:u w:val="single"/>
                <w:lang w:val="en-US" w:eastAsia="zh-CN" w:bidi="ar-SA"/>
              </w:rPr>
              <w:t xml:space="preserve">    </w:t>
            </w:r>
            <w:r>
              <w:rPr>
                <w:rFonts w:hint="eastAsia" w:ascii="仿宋" w:hAnsi="仿宋" w:eastAsia="仿宋" w:cs="Arial"/>
                <w:bCs/>
                <w:kern w:val="2"/>
                <w:sz w:val="30"/>
                <w:szCs w:val="30"/>
                <w:lang w:val="en-US" w:eastAsia="zh-CN" w:bidi="ar-SA"/>
              </w:rPr>
              <w:t>%</w:t>
            </w:r>
          </w:p>
          <w:p w14:paraId="24879378">
            <w:pPr>
              <w:spacing w:line="360" w:lineRule="auto"/>
              <w:jc w:val="left"/>
              <w:rPr>
                <w:rFonts w:ascii="仿宋" w:hAnsi="仿宋" w:eastAsia="仿宋" w:cs="Arial"/>
                <w:bCs/>
                <w:sz w:val="30"/>
                <w:szCs w:val="30"/>
              </w:rPr>
            </w:pPr>
            <w:r>
              <w:rPr>
                <w:rFonts w:hint="eastAsia" w:ascii="仿宋" w:hAnsi="仿宋" w:eastAsia="仿宋" w:cs="Arial"/>
                <w:bCs/>
                <w:kern w:val="2"/>
                <w:sz w:val="30"/>
                <w:szCs w:val="30"/>
                <w:lang w:val="en-US" w:eastAsia="zh-CN" w:bidi="ar-SA"/>
              </w:rPr>
              <w:t>注：</w:t>
            </w:r>
            <w:r>
              <w:rPr>
                <w:rFonts w:hint="eastAsia" w:ascii="仿宋" w:hAnsi="仿宋" w:eastAsia="仿宋" w:cs="Arial"/>
                <w:bCs/>
                <w:sz w:val="30"/>
                <w:szCs w:val="30"/>
                <w:lang w:val="en-US" w:eastAsia="zh-CN"/>
              </w:rPr>
              <w:t>按让利率报价，让利率最高者中标。</w:t>
            </w:r>
            <w:r>
              <w:rPr>
                <w:rFonts w:hint="eastAsia" w:ascii="仿宋" w:hAnsi="仿宋" w:eastAsia="仿宋" w:cs="Arial"/>
                <w:bCs/>
                <w:kern w:val="2"/>
                <w:sz w:val="30"/>
                <w:szCs w:val="30"/>
                <w:lang w:val="en-US" w:eastAsia="zh-CN" w:bidi="ar-SA"/>
              </w:rPr>
              <w:t>服务期内让利率固定不变，不因人工、物价、市场波动而调整。</w:t>
            </w:r>
          </w:p>
        </w:tc>
      </w:tr>
      <w:tr w14:paraId="078E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5"/>
            <w:tcBorders>
              <w:top w:val="single" w:color="auto" w:sz="4" w:space="0"/>
              <w:left w:val="single" w:color="auto" w:sz="4" w:space="0"/>
              <w:bottom w:val="single" w:color="auto" w:sz="4" w:space="0"/>
            </w:tcBorders>
            <w:vAlign w:val="center"/>
          </w:tcPr>
          <w:p w14:paraId="0022CC61">
            <w:pPr>
              <w:spacing w:line="360" w:lineRule="auto"/>
              <w:jc w:val="left"/>
              <w:rPr>
                <w:rFonts w:hint="eastAsia" w:ascii="仿宋" w:hAnsi="仿宋" w:eastAsia="仿宋" w:cs="Arial"/>
                <w:bCs/>
                <w:kern w:val="2"/>
                <w:sz w:val="30"/>
                <w:szCs w:val="30"/>
                <w:lang w:val="en-US" w:eastAsia="zh-CN" w:bidi="ar-SA"/>
              </w:rPr>
            </w:pPr>
            <w:r>
              <w:rPr>
                <w:rFonts w:hint="eastAsia" w:ascii="仿宋" w:hAnsi="仿宋" w:eastAsia="仿宋" w:cs="Arial"/>
                <w:bCs/>
                <w:kern w:val="2"/>
                <w:sz w:val="30"/>
                <w:szCs w:val="30"/>
                <w:lang w:val="en-US" w:eastAsia="zh-CN" w:bidi="ar-SA"/>
              </w:rPr>
              <w:t>服务交付时间：签订合同之日起立即启动服务。</w:t>
            </w:r>
          </w:p>
          <w:p w14:paraId="69D25A22">
            <w:pPr>
              <w:spacing w:line="360" w:lineRule="auto"/>
              <w:jc w:val="left"/>
              <w:rPr>
                <w:rFonts w:hint="eastAsia" w:ascii="仿宋" w:hAnsi="仿宋" w:eastAsia="仿宋" w:cs="Arial"/>
                <w:b/>
                <w:bCs/>
                <w:sz w:val="30"/>
                <w:szCs w:val="30"/>
              </w:rPr>
            </w:pPr>
            <w:r>
              <w:rPr>
                <w:rFonts w:hint="eastAsia" w:ascii="仿宋" w:hAnsi="仿宋" w:eastAsia="仿宋" w:cs="Arial"/>
                <w:bCs/>
                <w:kern w:val="2"/>
                <w:sz w:val="30"/>
                <w:szCs w:val="30"/>
                <w:lang w:val="en-US" w:eastAsia="zh-CN" w:bidi="ar-SA"/>
              </w:rPr>
              <w:t>服务期：自合同签订之日起一年（或结算金额达到上限4万元自动终止）</w:t>
            </w:r>
            <w:bookmarkStart w:id="55" w:name="_GoBack"/>
            <w:bookmarkEnd w:id="55"/>
          </w:p>
        </w:tc>
      </w:tr>
    </w:tbl>
    <w:p w14:paraId="7EF258AB">
      <w:pPr>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56D2CBCC">
      <w:pPr>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法定代表人（负责人）或委托代理人（签字）:</w:t>
      </w:r>
      <w:r>
        <w:rPr>
          <w:rFonts w:ascii="仿宋" w:hAnsi="仿宋" w:eastAsia="仿宋" w:cs="Arial"/>
          <w:sz w:val="30"/>
          <w:szCs w:val="30"/>
          <w:u w:val="single"/>
        </w:rPr>
        <w:t xml:space="preserve">                          </w:t>
      </w:r>
    </w:p>
    <w:p w14:paraId="3D428F58">
      <w:pPr>
        <w:spacing w:line="276" w:lineRule="auto"/>
        <w:jc w:val="left"/>
        <w:rPr>
          <w:rFonts w:ascii="仿宋" w:hAnsi="仿宋" w:eastAsia="仿宋" w:cs="Arial"/>
          <w:sz w:val="30"/>
          <w:szCs w:val="30"/>
          <w:u w:val="single"/>
        </w:rPr>
      </w:pPr>
      <w:r>
        <w:rPr>
          <w:rFonts w:hint="eastAsia" w:ascii="仿宋" w:hAnsi="仿宋" w:eastAsia="仿宋" w:cs="Arial"/>
          <w:sz w:val="30"/>
          <w:szCs w:val="30"/>
        </w:rPr>
        <w:t>地址：</w:t>
      </w:r>
      <w:r>
        <w:rPr>
          <w:rFonts w:ascii="仿宋" w:hAnsi="仿宋" w:eastAsia="仿宋" w:cs="Arial"/>
          <w:sz w:val="30"/>
          <w:szCs w:val="30"/>
          <w:u w:val="single"/>
        </w:rPr>
        <w:t xml:space="preserve">                          </w:t>
      </w:r>
      <w:r>
        <w:rPr>
          <w:rFonts w:hint="eastAsia" w:ascii="仿宋" w:hAnsi="仿宋" w:eastAsia="仿宋" w:cs="Arial"/>
          <w:sz w:val="30"/>
          <w:szCs w:val="30"/>
        </w:rPr>
        <w:t>电话：</w:t>
      </w:r>
      <w:r>
        <w:rPr>
          <w:rFonts w:ascii="仿宋" w:hAnsi="仿宋" w:eastAsia="仿宋" w:cs="Arial"/>
          <w:sz w:val="30"/>
          <w:szCs w:val="30"/>
          <w:u w:val="single"/>
        </w:rPr>
        <w:t xml:space="preserve">                             </w:t>
      </w:r>
    </w:p>
    <w:p w14:paraId="1B31C344">
      <w:pPr>
        <w:spacing w:line="276" w:lineRule="auto"/>
        <w:jc w:val="left"/>
        <w:rPr>
          <w:rFonts w:ascii="仿宋" w:hAnsi="仿宋" w:eastAsia="仿宋" w:cs="Arial"/>
          <w:sz w:val="30"/>
          <w:szCs w:val="30"/>
        </w:rPr>
      </w:pPr>
      <w:r>
        <w:rPr>
          <w:rFonts w:hint="eastAsia" w:ascii="仿宋" w:hAnsi="仿宋" w:eastAsia="仿宋" w:cs="Arial"/>
          <w:sz w:val="30"/>
          <w:szCs w:val="30"/>
        </w:rPr>
        <w:t>转账全称：</w:t>
      </w:r>
      <w:r>
        <w:rPr>
          <w:rFonts w:ascii="仿宋" w:hAnsi="仿宋" w:eastAsia="仿宋" w:cs="Arial"/>
          <w:sz w:val="30"/>
          <w:szCs w:val="30"/>
          <w:u w:val="single"/>
        </w:rPr>
        <w:t xml:space="preserve">                            </w:t>
      </w:r>
      <w:r>
        <w:rPr>
          <w:rFonts w:hint="eastAsia" w:ascii="仿宋" w:hAnsi="仿宋" w:eastAsia="仿宋" w:cs="Arial"/>
          <w:sz w:val="30"/>
          <w:szCs w:val="30"/>
        </w:rPr>
        <w:t>对公账号：</w:t>
      </w:r>
      <w:r>
        <w:rPr>
          <w:rFonts w:ascii="仿宋" w:hAnsi="仿宋" w:eastAsia="仿宋" w:cs="Arial"/>
          <w:sz w:val="30"/>
          <w:szCs w:val="30"/>
          <w:u w:val="single"/>
        </w:rPr>
        <w:t xml:space="preserve">                                                      </w:t>
      </w:r>
    </w:p>
    <w:p w14:paraId="1774BE5E">
      <w:pPr>
        <w:spacing w:line="276" w:lineRule="auto"/>
        <w:jc w:val="left"/>
        <w:rPr>
          <w:rFonts w:ascii="仿宋" w:hAnsi="仿宋" w:eastAsia="仿宋" w:cs="Arial"/>
          <w:sz w:val="30"/>
          <w:szCs w:val="30"/>
          <w:u w:val="single"/>
        </w:rPr>
      </w:pPr>
      <w:r>
        <w:rPr>
          <w:rFonts w:hint="eastAsia" w:ascii="仿宋" w:hAnsi="仿宋" w:eastAsia="仿宋" w:cs="Arial"/>
          <w:sz w:val="30"/>
          <w:szCs w:val="30"/>
        </w:rPr>
        <w:t>开户行：</w:t>
      </w:r>
      <w:r>
        <w:rPr>
          <w:rFonts w:ascii="仿宋" w:hAnsi="仿宋" w:eastAsia="仿宋" w:cs="Arial"/>
          <w:sz w:val="30"/>
          <w:szCs w:val="30"/>
          <w:u w:val="single"/>
        </w:rPr>
        <w:t xml:space="preserve">                              </w:t>
      </w:r>
    </w:p>
    <w:p w14:paraId="02F04E8B">
      <w:pPr>
        <w:widowControl/>
        <w:adjustRightInd w:val="0"/>
        <w:snapToGrid w:val="0"/>
        <w:spacing w:line="360" w:lineRule="auto"/>
        <w:jc w:val="left"/>
        <w:rPr>
          <w:rFonts w:ascii="仿宋" w:hAnsi="仿宋" w:eastAsia="仿宋" w:cs="Arial"/>
          <w:color w:val="000000"/>
          <w:kern w:val="0"/>
          <w:sz w:val="30"/>
          <w:szCs w:val="30"/>
        </w:rPr>
      </w:pPr>
    </w:p>
    <w:p w14:paraId="322F18C5">
      <w:pPr>
        <w:spacing w:after="120"/>
        <w:jc w:val="left"/>
        <w:rPr>
          <w:rFonts w:ascii="宋体" w:hAnsi="宋体" w:cs="宋体"/>
          <w:b/>
          <w:sz w:val="28"/>
        </w:rPr>
      </w:pPr>
    </w:p>
    <w:p w14:paraId="582E01AA">
      <w:pPr>
        <w:spacing w:after="120"/>
        <w:jc w:val="left"/>
        <w:rPr>
          <w:rFonts w:ascii="宋体" w:hAnsi="宋体" w:cs="宋体"/>
          <w:b/>
          <w:sz w:val="28"/>
        </w:rPr>
      </w:pPr>
    </w:p>
    <w:p w14:paraId="0DB1049F">
      <w:pPr>
        <w:spacing w:after="120"/>
        <w:jc w:val="left"/>
        <w:rPr>
          <w:rFonts w:ascii="宋体" w:hAnsi="宋体" w:cs="宋体"/>
          <w:b/>
          <w:sz w:val="28"/>
        </w:rPr>
      </w:pPr>
    </w:p>
    <w:p w14:paraId="66DDACA8">
      <w:pPr>
        <w:spacing w:after="120"/>
        <w:jc w:val="left"/>
        <w:rPr>
          <w:rFonts w:ascii="宋体" w:hAnsi="宋体" w:cs="宋体"/>
          <w:b/>
          <w:sz w:val="28"/>
        </w:rPr>
      </w:pPr>
    </w:p>
    <w:p w14:paraId="6EEBB619">
      <w:pPr>
        <w:spacing w:after="120"/>
        <w:jc w:val="left"/>
        <w:rPr>
          <w:rFonts w:ascii="宋体" w:hAnsi="宋体" w:cs="宋体"/>
          <w:b/>
          <w:sz w:val="28"/>
        </w:rPr>
      </w:pPr>
    </w:p>
    <w:p w14:paraId="78578433">
      <w:pPr>
        <w:pStyle w:val="6"/>
      </w:pPr>
    </w:p>
    <w:p w14:paraId="2E84CD3A">
      <w:pPr>
        <w:spacing w:after="120"/>
        <w:jc w:val="left"/>
        <w:rPr>
          <w:rFonts w:ascii="宋体" w:hAnsi="宋体" w:cs="宋体"/>
        </w:rPr>
      </w:pPr>
      <w:r>
        <w:rPr>
          <w:rFonts w:hint="eastAsia" w:ascii="宋体" w:hAnsi="宋体" w:cs="宋体"/>
          <w:b/>
          <w:sz w:val="28"/>
        </w:rPr>
        <w:t>2.商务、技术响应、偏离情况说明表</w:t>
      </w:r>
    </w:p>
    <w:p w14:paraId="11BE94E1">
      <w:pPr>
        <w:spacing w:before="156" w:beforeLines="50" w:after="156" w:afterLines="50" w:line="360" w:lineRule="exact"/>
        <w:rPr>
          <w:rFonts w:ascii="宋体" w:hAnsi="宋体"/>
          <w:sz w:val="28"/>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p w14:paraId="6900AC6F">
      <w:pPr>
        <w:spacing w:before="156" w:beforeLines="50" w:after="156" w:afterLines="50" w:line="360" w:lineRule="exact"/>
        <w:rPr>
          <w:rFonts w:ascii="宋体" w:hAnsi="宋体"/>
          <w:sz w:val="28"/>
          <w:u w:val="single"/>
        </w:rPr>
      </w:pPr>
      <w:r>
        <w:rPr>
          <w:rFonts w:hint="eastAsia" w:ascii="宋体" w:hAnsi="宋体"/>
          <w:sz w:val="28"/>
        </w:rPr>
        <w:t xml:space="preserve">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796E82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12CAEA53">
            <w:pPr>
              <w:adjustRightInd w:val="0"/>
              <w:snapToGrid w:val="0"/>
              <w:spacing w:line="300" w:lineRule="auto"/>
              <w:outlineLvl w:val="0"/>
              <w:rPr>
                <w:rFonts w:ascii="宋体" w:hAnsi="宋体"/>
                <w:sz w:val="24"/>
                <w:szCs w:val="24"/>
              </w:rPr>
            </w:pPr>
            <w:bookmarkStart w:id="5" w:name="_Toc254970729"/>
            <w:bookmarkStart w:id="6" w:name="_Toc173066401"/>
            <w:bookmarkStart w:id="7" w:name="_Toc254970588"/>
            <w:bookmarkStart w:id="8" w:name="_Toc405905876"/>
            <w:bookmarkStart w:id="9" w:name="_Toc173211900"/>
            <w:bookmarkStart w:id="10" w:name="_Toc171349578"/>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6CFFF390">
            <w:pPr>
              <w:jc w:val="center"/>
              <w:rPr>
                <w:rFonts w:ascii="宋体" w:hAnsi="宋体" w:cs="宋体"/>
                <w:kern w:val="0"/>
                <w:sz w:val="24"/>
              </w:rPr>
            </w:pPr>
            <w:r>
              <w:rPr>
                <w:rFonts w:hint="eastAsia" w:ascii="宋体" w:hAnsi="宋体" w:cs="宋体"/>
                <w:kern w:val="0"/>
                <w:sz w:val="24"/>
              </w:rPr>
              <w:t>采购参数要求</w:t>
            </w:r>
          </w:p>
        </w:tc>
        <w:tc>
          <w:tcPr>
            <w:tcW w:w="2945" w:type="dxa"/>
            <w:tcBorders>
              <w:top w:val="single" w:color="auto" w:sz="4" w:space="0"/>
              <w:left w:val="single" w:color="auto" w:sz="6" w:space="0"/>
              <w:bottom w:val="single" w:color="auto" w:sz="6" w:space="0"/>
              <w:right w:val="single" w:color="auto" w:sz="6" w:space="0"/>
            </w:tcBorders>
            <w:vAlign w:val="center"/>
          </w:tcPr>
          <w:p w14:paraId="0C46980C">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22A289F4">
            <w:pPr>
              <w:adjustRightInd w:val="0"/>
              <w:snapToGrid w:val="0"/>
              <w:spacing w:line="300" w:lineRule="auto"/>
              <w:jc w:val="center"/>
              <w:outlineLvl w:val="0"/>
              <w:rPr>
                <w:rFonts w:ascii="宋体" w:hAnsi="宋体"/>
                <w:sz w:val="24"/>
                <w:szCs w:val="24"/>
              </w:rPr>
            </w:pPr>
            <w:bookmarkStart w:id="11" w:name="_Toc254970732"/>
            <w:bookmarkStart w:id="12" w:name="_Toc405905879"/>
            <w:bookmarkStart w:id="13" w:name="_Toc173066404"/>
            <w:bookmarkStart w:id="14" w:name="_Toc173211903"/>
            <w:bookmarkStart w:id="15" w:name="_Toc254970591"/>
            <w:bookmarkStart w:id="16" w:name="_Toc171349581"/>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4053AAC9">
            <w:pPr>
              <w:adjustRightInd w:val="0"/>
              <w:snapToGrid w:val="0"/>
              <w:spacing w:line="300" w:lineRule="auto"/>
              <w:jc w:val="center"/>
              <w:outlineLvl w:val="0"/>
              <w:rPr>
                <w:rFonts w:ascii="宋体" w:hAnsi="宋体"/>
                <w:sz w:val="24"/>
                <w:szCs w:val="24"/>
              </w:rPr>
            </w:pPr>
            <w:bookmarkStart w:id="17" w:name="_Toc254970733"/>
            <w:bookmarkStart w:id="18" w:name="_Toc173211904"/>
            <w:bookmarkStart w:id="19" w:name="_Toc173066405"/>
            <w:bookmarkStart w:id="20" w:name="_Toc171349582"/>
            <w:bookmarkStart w:id="21" w:name="_Toc405905880"/>
            <w:bookmarkStart w:id="22" w:name="_Toc254970592"/>
            <w:r>
              <w:rPr>
                <w:rFonts w:hint="eastAsia" w:ascii="宋体" w:hAnsi="宋体"/>
                <w:sz w:val="24"/>
              </w:rPr>
              <w:t>说明</w:t>
            </w:r>
            <w:bookmarkEnd w:id="17"/>
            <w:bookmarkEnd w:id="18"/>
            <w:bookmarkEnd w:id="19"/>
            <w:bookmarkEnd w:id="20"/>
            <w:bookmarkEnd w:id="21"/>
            <w:bookmarkEnd w:id="22"/>
            <w:r>
              <w:rPr>
                <w:rFonts w:hint="eastAsia" w:ascii="宋体" w:hAnsi="宋体"/>
                <w:sz w:val="24"/>
              </w:rPr>
              <w:t>功能截图、相关证书复印件、检测报告所在响应文件页码（如有）</w:t>
            </w:r>
          </w:p>
        </w:tc>
      </w:tr>
      <w:tr w14:paraId="54458F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605FF59">
            <w:pPr>
              <w:adjustRightInd w:val="0"/>
              <w:snapToGrid w:val="0"/>
              <w:spacing w:line="360" w:lineRule="auto"/>
              <w:jc w:val="center"/>
              <w:outlineLvl w:val="0"/>
              <w:rPr>
                <w:rFonts w:ascii="宋体" w:hAnsi="宋体"/>
                <w:sz w:val="24"/>
                <w:szCs w:val="24"/>
              </w:rPr>
            </w:pPr>
            <w:bookmarkStart w:id="23" w:name="_Toc171349583"/>
            <w:bookmarkStart w:id="24" w:name="_Toc405905881"/>
            <w:r>
              <w:rPr>
                <w:rFonts w:hint="eastAsia" w:ascii="宋体" w:hAnsi="宋体"/>
                <w:sz w:val="24"/>
              </w:rPr>
              <w:t>商务部分</w:t>
            </w:r>
            <w:bookmarkEnd w:id="23"/>
            <w:bookmarkEnd w:id="24"/>
          </w:p>
        </w:tc>
      </w:tr>
      <w:tr w14:paraId="722EB8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2C8F943">
            <w:pPr>
              <w:adjustRightInd w:val="0"/>
              <w:snapToGrid w:val="0"/>
              <w:spacing w:line="240" w:lineRule="exact"/>
              <w:jc w:val="center"/>
              <w:outlineLvl w:val="0"/>
              <w:rPr>
                <w:rFonts w:ascii="宋体" w:hAnsi="宋体"/>
                <w:sz w:val="24"/>
                <w:szCs w:val="24"/>
              </w:rPr>
            </w:pPr>
            <w:bookmarkStart w:id="25" w:name="_Toc171349584"/>
            <w:bookmarkStart w:id="26" w:name="_Toc173211905"/>
            <w:bookmarkStart w:id="27" w:name="_Toc254970593"/>
            <w:bookmarkStart w:id="28" w:name="_Toc173066406"/>
            <w:bookmarkStart w:id="29" w:name="_Toc405905882"/>
            <w:bookmarkStart w:id="30" w:name="_Toc254970734"/>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7C462ECE">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15CB44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6A72CD9">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9DB51F3">
            <w:pPr>
              <w:adjustRightInd w:val="0"/>
              <w:snapToGrid w:val="0"/>
              <w:spacing w:line="240" w:lineRule="exact"/>
              <w:jc w:val="center"/>
              <w:outlineLvl w:val="0"/>
              <w:rPr>
                <w:rFonts w:ascii="宋体" w:hAnsi="宋体"/>
                <w:sz w:val="24"/>
                <w:szCs w:val="24"/>
              </w:rPr>
            </w:pPr>
          </w:p>
        </w:tc>
      </w:tr>
      <w:tr w14:paraId="221FD4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D7D0995">
            <w:pPr>
              <w:adjustRightInd w:val="0"/>
              <w:snapToGrid w:val="0"/>
              <w:spacing w:line="240" w:lineRule="exact"/>
              <w:jc w:val="center"/>
              <w:outlineLvl w:val="0"/>
              <w:rPr>
                <w:rFonts w:ascii="宋体" w:hAnsi="宋体"/>
                <w:sz w:val="24"/>
                <w:szCs w:val="24"/>
              </w:rPr>
            </w:pPr>
            <w:bookmarkStart w:id="31" w:name="_Toc405905883"/>
            <w:bookmarkStart w:id="32" w:name="_Toc254970594"/>
            <w:bookmarkStart w:id="33" w:name="_Toc173066407"/>
            <w:bookmarkStart w:id="34" w:name="_Toc173211906"/>
            <w:bookmarkStart w:id="35" w:name="_Toc254970735"/>
            <w:bookmarkStart w:id="36" w:name="_Toc171349585"/>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010ED62E">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EF122AF">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312FBE5">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44A8E5DF">
            <w:pPr>
              <w:adjustRightInd w:val="0"/>
              <w:snapToGrid w:val="0"/>
              <w:spacing w:line="240" w:lineRule="exact"/>
              <w:jc w:val="center"/>
              <w:outlineLvl w:val="0"/>
              <w:rPr>
                <w:rFonts w:ascii="宋体" w:hAnsi="宋体"/>
                <w:sz w:val="24"/>
                <w:szCs w:val="24"/>
              </w:rPr>
            </w:pPr>
          </w:p>
        </w:tc>
      </w:tr>
      <w:tr w14:paraId="17EB31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A30DEC3">
            <w:pPr>
              <w:adjustRightInd w:val="0"/>
              <w:snapToGrid w:val="0"/>
              <w:spacing w:line="240" w:lineRule="exact"/>
              <w:jc w:val="center"/>
              <w:outlineLvl w:val="0"/>
              <w:rPr>
                <w:rFonts w:ascii="宋体" w:hAnsi="宋体"/>
                <w:sz w:val="24"/>
                <w:szCs w:val="24"/>
              </w:rPr>
            </w:pPr>
            <w:bookmarkStart w:id="37" w:name="_Toc254970736"/>
            <w:bookmarkStart w:id="38" w:name="_Toc405905884"/>
            <w:bookmarkStart w:id="39" w:name="_Toc173066408"/>
            <w:bookmarkStart w:id="40" w:name="_Toc173211907"/>
            <w:bookmarkStart w:id="41" w:name="_Toc171349586"/>
            <w:bookmarkStart w:id="42" w:name="_Toc254970595"/>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5FE2F0AD">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101473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0DAB6B0">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5101CB1">
            <w:pPr>
              <w:adjustRightInd w:val="0"/>
              <w:snapToGrid w:val="0"/>
              <w:spacing w:line="240" w:lineRule="exact"/>
              <w:jc w:val="center"/>
              <w:outlineLvl w:val="0"/>
              <w:rPr>
                <w:rFonts w:ascii="宋体" w:hAnsi="宋体"/>
                <w:sz w:val="24"/>
                <w:szCs w:val="24"/>
              </w:rPr>
            </w:pPr>
          </w:p>
        </w:tc>
      </w:tr>
      <w:tr w14:paraId="29469F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F43A00B">
            <w:pPr>
              <w:adjustRightInd w:val="0"/>
              <w:snapToGrid w:val="0"/>
              <w:spacing w:line="240" w:lineRule="exact"/>
              <w:jc w:val="center"/>
              <w:outlineLvl w:val="0"/>
              <w:rPr>
                <w:rFonts w:ascii="宋体" w:hAnsi="宋体"/>
                <w:sz w:val="24"/>
                <w:szCs w:val="24"/>
              </w:rPr>
            </w:pPr>
            <w:bookmarkStart w:id="43" w:name="_Toc171349587"/>
            <w:bookmarkStart w:id="44" w:name="_Toc405905885"/>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4227EADD">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6F1A982">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2B2B45D">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E6F0997">
            <w:pPr>
              <w:adjustRightInd w:val="0"/>
              <w:snapToGrid w:val="0"/>
              <w:spacing w:line="240" w:lineRule="exact"/>
              <w:jc w:val="center"/>
              <w:outlineLvl w:val="0"/>
              <w:rPr>
                <w:rFonts w:ascii="宋体" w:hAnsi="宋体"/>
                <w:sz w:val="24"/>
                <w:szCs w:val="24"/>
              </w:rPr>
            </w:pPr>
          </w:p>
        </w:tc>
      </w:tr>
      <w:tr w14:paraId="18CFC3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1DF234F1">
            <w:pPr>
              <w:adjustRightInd w:val="0"/>
              <w:snapToGrid w:val="0"/>
              <w:spacing w:line="360" w:lineRule="auto"/>
              <w:jc w:val="center"/>
              <w:outlineLvl w:val="0"/>
              <w:rPr>
                <w:rFonts w:ascii="宋体" w:hAnsi="宋体"/>
                <w:sz w:val="24"/>
                <w:szCs w:val="24"/>
              </w:rPr>
            </w:pPr>
            <w:bookmarkStart w:id="45" w:name="_Toc171349588"/>
            <w:bookmarkStart w:id="46" w:name="_Toc405905886"/>
            <w:r>
              <w:rPr>
                <w:rFonts w:hint="eastAsia" w:ascii="宋体" w:hAnsi="宋体"/>
                <w:sz w:val="24"/>
              </w:rPr>
              <w:t>服务内容部分</w:t>
            </w:r>
            <w:bookmarkEnd w:id="45"/>
            <w:bookmarkEnd w:id="46"/>
          </w:p>
        </w:tc>
      </w:tr>
      <w:tr w14:paraId="59A3F0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E313029">
            <w:pPr>
              <w:adjustRightInd w:val="0"/>
              <w:snapToGrid w:val="0"/>
              <w:spacing w:line="240" w:lineRule="exact"/>
              <w:jc w:val="center"/>
              <w:outlineLvl w:val="0"/>
              <w:rPr>
                <w:rFonts w:ascii="宋体" w:hAnsi="宋体"/>
                <w:sz w:val="24"/>
                <w:szCs w:val="24"/>
              </w:rPr>
            </w:pPr>
            <w:bookmarkStart w:id="47" w:name="_Toc171349589"/>
            <w:bookmarkStart w:id="48" w:name="_Toc405905887"/>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778D47FA">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52FEC2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47764534">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228B15B">
            <w:pPr>
              <w:adjustRightInd w:val="0"/>
              <w:snapToGrid w:val="0"/>
              <w:spacing w:line="240" w:lineRule="exact"/>
              <w:jc w:val="center"/>
              <w:outlineLvl w:val="0"/>
              <w:rPr>
                <w:rFonts w:ascii="宋体" w:hAnsi="宋体"/>
                <w:sz w:val="24"/>
                <w:szCs w:val="24"/>
              </w:rPr>
            </w:pPr>
          </w:p>
        </w:tc>
      </w:tr>
      <w:tr w14:paraId="04D346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695CF5C">
            <w:pPr>
              <w:adjustRightInd w:val="0"/>
              <w:snapToGrid w:val="0"/>
              <w:spacing w:line="240" w:lineRule="exact"/>
              <w:jc w:val="center"/>
              <w:outlineLvl w:val="0"/>
              <w:rPr>
                <w:rFonts w:ascii="宋体" w:hAnsi="宋体"/>
                <w:sz w:val="24"/>
                <w:szCs w:val="24"/>
              </w:rPr>
            </w:pPr>
            <w:bookmarkStart w:id="49" w:name="_Toc171349590"/>
            <w:bookmarkStart w:id="50" w:name="_Toc405905888"/>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5972CA80">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A8E083A">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042E8A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A0CA1F0">
            <w:pPr>
              <w:adjustRightInd w:val="0"/>
              <w:snapToGrid w:val="0"/>
              <w:spacing w:line="240" w:lineRule="exact"/>
              <w:jc w:val="center"/>
              <w:outlineLvl w:val="0"/>
              <w:rPr>
                <w:rFonts w:ascii="宋体" w:hAnsi="宋体"/>
                <w:sz w:val="24"/>
                <w:szCs w:val="24"/>
              </w:rPr>
            </w:pPr>
          </w:p>
        </w:tc>
      </w:tr>
      <w:tr w14:paraId="016DED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6DDF3C0">
            <w:pPr>
              <w:adjustRightInd w:val="0"/>
              <w:snapToGrid w:val="0"/>
              <w:spacing w:line="240" w:lineRule="exact"/>
              <w:jc w:val="center"/>
              <w:outlineLvl w:val="0"/>
              <w:rPr>
                <w:rFonts w:ascii="宋体" w:hAnsi="宋体"/>
                <w:sz w:val="24"/>
                <w:szCs w:val="24"/>
              </w:rPr>
            </w:pPr>
            <w:bookmarkStart w:id="51" w:name="_Toc405905889"/>
            <w:bookmarkStart w:id="52" w:name="_Toc171349591"/>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6D6B4C42">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5CAB228">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365C5367">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6E291BE">
            <w:pPr>
              <w:adjustRightInd w:val="0"/>
              <w:snapToGrid w:val="0"/>
              <w:spacing w:line="240" w:lineRule="exact"/>
              <w:jc w:val="center"/>
              <w:outlineLvl w:val="0"/>
              <w:rPr>
                <w:rFonts w:ascii="宋体" w:hAnsi="宋体"/>
                <w:sz w:val="24"/>
                <w:szCs w:val="24"/>
              </w:rPr>
            </w:pPr>
          </w:p>
        </w:tc>
      </w:tr>
      <w:tr w14:paraId="71AD47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304B2EF1">
            <w:pPr>
              <w:adjustRightInd w:val="0"/>
              <w:snapToGrid w:val="0"/>
              <w:spacing w:line="240" w:lineRule="exact"/>
              <w:jc w:val="center"/>
              <w:outlineLvl w:val="0"/>
              <w:rPr>
                <w:rFonts w:ascii="宋体" w:hAnsi="宋体"/>
                <w:sz w:val="24"/>
                <w:szCs w:val="24"/>
              </w:rPr>
            </w:pPr>
            <w:bookmarkStart w:id="53" w:name="_Toc405905890"/>
            <w:bookmarkStart w:id="54" w:name="_Toc171349592"/>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6E58B342">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5FBC0B66">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1790CD24">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5AFD1544">
            <w:pPr>
              <w:adjustRightInd w:val="0"/>
              <w:snapToGrid w:val="0"/>
              <w:spacing w:line="240" w:lineRule="exact"/>
              <w:jc w:val="center"/>
              <w:outlineLvl w:val="0"/>
              <w:rPr>
                <w:rFonts w:ascii="宋体" w:hAnsi="宋体"/>
                <w:sz w:val="24"/>
                <w:szCs w:val="24"/>
              </w:rPr>
            </w:pPr>
          </w:p>
        </w:tc>
      </w:tr>
    </w:tbl>
    <w:p w14:paraId="4E864243">
      <w:pPr>
        <w:adjustRightInd w:val="0"/>
        <w:snapToGrid w:val="0"/>
        <w:spacing w:line="460" w:lineRule="exact"/>
        <w:rPr>
          <w:rFonts w:ascii="宋体" w:hAnsi="宋体"/>
          <w:sz w:val="24"/>
        </w:rPr>
      </w:pPr>
      <w:r>
        <w:rPr>
          <w:rFonts w:hint="eastAsia" w:ascii="宋体" w:hAnsi="宋体"/>
          <w:sz w:val="24"/>
        </w:rPr>
        <w:t>说明：</w:t>
      </w:r>
    </w:p>
    <w:p w14:paraId="78EDD5E2">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633E21D3">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6D150045">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52C34428">
      <w:pPr>
        <w:spacing w:after="120"/>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1F5FF965">
      <w:pPr>
        <w:spacing w:after="120"/>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514F2071">
      <w:pPr>
        <w:spacing w:after="120"/>
        <w:jc w:val="left"/>
        <w:rPr>
          <w:rFonts w:ascii="宋体" w:hAnsi="宋体" w:cs="宋体"/>
          <w:b/>
          <w:sz w:val="24"/>
          <w:szCs w:val="24"/>
        </w:rPr>
      </w:pPr>
    </w:p>
    <w:p w14:paraId="144E30FA">
      <w:pPr>
        <w:spacing w:after="120"/>
        <w:jc w:val="left"/>
        <w:rPr>
          <w:b/>
          <w:color w:val="FF0000"/>
        </w:rPr>
      </w:pPr>
      <w:r>
        <w:rPr>
          <w:rFonts w:hint="eastAsia" w:ascii="宋体" w:hAnsi="宋体" w:cs="宋体"/>
          <w:b/>
          <w:sz w:val="24"/>
          <w:szCs w:val="24"/>
        </w:rPr>
        <w:t xml:space="preserve">      　　　　　　　　　　　　　                           日期：   年  月  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3EDD27"/>
    <w:multiLevelType w:val="singleLevel"/>
    <w:tmpl w:val="053EDD27"/>
    <w:lvl w:ilvl="0" w:tentative="0">
      <w:start w:val="1"/>
      <w:numFmt w:val="chineseCounting"/>
      <w:suff w:val="nothing"/>
      <w:lvlText w:val="%1、"/>
      <w:lvlJc w:val="left"/>
      <w:rPr>
        <w:rFonts w:hint="eastAsia"/>
      </w:rPr>
    </w:lvl>
  </w:abstractNum>
  <w:abstractNum w:abstractNumId="1">
    <w:nsid w:val="0A46E091"/>
    <w:multiLevelType w:val="singleLevel"/>
    <w:tmpl w:val="0A46E091"/>
    <w:lvl w:ilvl="0" w:tentative="0">
      <w:start w:val="1"/>
      <w:numFmt w:val="chineseCounting"/>
      <w:suff w:val="nothing"/>
      <w:lvlText w:val="%1、"/>
      <w:lvlJc w:val="left"/>
      <w:rPr>
        <w:rFonts w:hint="eastAsia"/>
      </w:rPr>
    </w:lvl>
  </w:abstractNum>
  <w:abstractNum w:abstractNumId="2">
    <w:nsid w:val="1519128E"/>
    <w:multiLevelType w:val="singleLevel"/>
    <w:tmpl w:val="1519128E"/>
    <w:lvl w:ilvl="0" w:tentative="0">
      <w:start w:val="7"/>
      <w:numFmt w:val="decimal"/>
      <w:lvlText w:val="%1."/>
      <w:lvlJc w:val="left"/>
      <w:pPr>
        <w:tabs>
          <w:tab w:val="left" w:pos="312"/>
        </w:tabs>
      </w:pPr>
    </w:lvl>
  </w:abstractNum>
  <w:abstractNum w:abstractNumId="3">
    <w:nsid w:val="3D079134"/>
    <w:multiLevelType w:val="singleLevel"/>
    <w:tmpl w:val="3D079134"/>
    <w:lvl w:ilvl="0" w:tentative="0">
      <w:start w:val="1"/>
      <w:numFmt w:val="decimal"/>
      <w:lvlText w:val="%1."/>
      <w:lvlJc w:val="left"/>
      <w:pPr>
        <w:tabs>
          <w:tab w:val="left" w:pos="312"/>
        </w:tabs>
      </w:pPr>
    </w:lvl>
  </w:abstractNum>
  <w:abstractNum w:abstractNumId="4">
    <w:nsid w:val="61C31ECF"/>
    <w:multiLevelType w:val="singleLevel"/>
    <w:tmpl w:val="61C31ECF"/>
    <w:lvl w:ilvl="0" w:tentative="0">
      <w:start w:val="2"/>
      <w:numFmt w:val="chineseCounting"/>
      <w:suff w:val="nothing"/>
      <w:lvlText w:val="%1、"/>
      <w:lvlJc w:val="left"/>
      <w:rPr>
        <w:rFonts w:hint="eastAsia"/>
      </w:rPr>
    </w:lvl>
  </w:abstractNum>
  <w:abstractNum w:abstractNumId="5">
    <w:nsid w:val="683F66A1"/>
    <w:multiLevelType w:val="singleLevel"/>
    <w:tmpl w:val="683F66A1"/>
    <w:lvl w:ilvl="0" w:tentative="0">
      <w:start w:val="1"/>
      <w:numFmt w:val="decimalEnclosedCircleChinese"/>
      <w:suff w:val="nothing"/>
      <w:lvlText w:val="%1　"/>
      <w:lvlJc w:val="left"/>
      <w:pPr>
        <w:ind w:left="0" w:firstLine="400"/>
      </w:pPr>
      <w:rPr>
        <w:rFonts w:hint="eastAsia"/>
      </w:r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4FB"/>
    <w:rsid w:val="0000227E"/>
    <w:rsid w:val="00022656"/>
    <w:rsid w:val="0003370D"/>
    <w:rsid w:val="00033E60"/>
    <w:rsid w:val="0005406C"/>
    <w:rsid w:val="000927C5"/>
    <w:rsid w:val="00094D15"/>
    <w:rsid w:val="00096E23"/>
    <w:rsid w:val="000977F7"/>
    <w:rsid w:val="000A18FB"/>
    <w:rsid w:val="000A5546"/>
    <w:rsid w:val="000A7ABD"/>
    <w:rsid w:val="000B2802"/>
    <w:rsid w:val="000D0700"/>
    <w:rsid w:val="000D24F9"/>
    <w:rsid w:val="000D2C6F"/>
    <w:rsid w:val="000E0EBC"/>
    <w:rsid w:val="001135F9"/>
    <w:rsid w:val="00115203"/>
    <w:rsid w:val="00121D26"/>
    <w:rsid w:val="00121F24"/>
    <w:rsid w:val="00131F1A"/>
    <w:rsid w:val="00131F2F"/>
    <w:rsid w:val="00167C68"/>
    <w:rsid w:val="00167D27"/>
    <w:rsid w:val="001739BD"/>
    <w:rsid w:val="00175BD3"/>
    <w:rsid w:val="001841BB"/>
    <w:rsid w:val="00197C14"/>
    <w:rsid w:val="001B2D59"/>
    <w:rsid w:val="001B52A8"/>
    <w:rsid w:val="001C5386"/>
    <w:rsid w:val="001D2AAE"/>
    <w:rsid w:val="001E6869"/>
    <w:rsid w:val="001E6CCD"/>
    <w:rsid w:val="00206B8D"/>
    <w:rsid w:val="0022534B"/>
    <w:rsid w:val="00226ABE"/>
    <w:rsid w:val="002501BB"/>
    <w:rsid w:val="0026302E"/>
    <w:rsid w:val="00263320"/>
    <w:rsid w:val="00271181"/>
    <w:rsid w:val="00280A55"/>
    <w:rsid w:val="002A1C58"/>
    <w:rsid w:val="002A402F"/>
    <w:rsid w:val="002B2D31"/>
    <w:rsid w:val="002B30DA"/>
    <w:rsid w:val="002D7B38"/>
    <w:rsid w:val="002E7238"/>
    <w:rsid w:val="002E759E"/>
    <w:rsid w:val="0030619C"/>
    <w:rsid w:val="0031078D"/>
    <w:rsid w:val="00311FE0"/>
    <w:rsid w:val="00316B59"/>
    <w:rsid w:val="003301DA"/>
    <w:rsid w:val="00351974"/>
    <w:rsid w:val="00352DEE"/>
    <w:rsid w:val="00355C5A"/>
    <w:rsid w:val="0036474E"/>
    <w:rsid w:val="00372E5C"/>
    <w:rsid w:val="00393DFC"/>
    <w:rsid w:val="00396635"/>
    <w:rsid w:val="003C1C9F"/>
    <w:rsid w:val="003D50E2"/>
    <w:rsid w:val="003E01AC"/>
    <w:rsid w:val="003F30D5"/>
    <w:rsid w:val="0040368D"/>
    <w:rsid w:val="00403734"/>
    <w:rsid w:val="0040574C"/>
    <w:rsid w:val="0040699E"/>
    <w:rsid w:val="00413075"/>
    <w:rsid w:val="004244FB"/>
    <w:rsid w:val="00431EBE"/>
    <w:rsid w:val="00433416"/>
    <w:rsid w:val="00433D45"/>
    <w:rsid w:val="00444B38"/>
    <w:rsid w:val="00445ECD"/>
    <w:rsid w:val="0045137C"/>
    <w:rsid w:val="00454500"/>
    <w:rsid w:val="00456DE7"/>
    <w:rsid w:val="00470B0F"/>
    <w:rsid w:val="00472E92"/>
    <w:rsid w:val="00476965"/>
    <w:rsid w:val="00485B0E"/>
    <w:rsid w:val="004B4EF7"/>
    <w:rsid w:val="004E038B"/>
    <w:rsid w:val="004F63BE"/>
    <w:rsid w:val="005023DE"/>
    <w:rsid w:val="00503E77"/>
    <w:rsid w:val="00511C16"/>
    <w:rsid w:val="00520AF4"/>
    <w:rsid w:val="00524F9C"/>
    <w:rsid w:val="005257F6"/>
    <w:rsid w:val="00533183"/>
    <w:rsid w:val="00533262"/>
    <w:rsid w:val="005332BE"/>
    <w:rsid w:val="00544186"/>
    <w:rsid w:val="00552AC2"/>
    <w:rsid w:val="00562452"/>
    <w:rsid w:val="0057096A"/>
    <w:rsid w:val="00572110"/>
    <w:rsid w:val="005726E0"/>
    <w:rsid w:val="005734B0"/>
    <w:rsid w:val="00585294"/>
    <w:rsid w:val="005A33D4"/>
    <w:rsid w:val="005A6583"/>
    <w:rsid w:val="005E2826"/>
    <w:rsid w:val="005F2B63"/>
    <w:rsid w:val="005F585A"/>
    <w:rsid w:val="00603AD8"/>
    <w:rsid w:val="00642021"/>
    <w:rsid w:val="00662D69"/>
    <w:rsid w:val="006666BC"/>
    <w:rsid w:val="00670D4D"/>
    <w:rsid w:val="00676789"/>
    <w:rsid w:val="00694629"/>
    <w:rsid w:val="00697692"/>
    <w:rsid w:val="006B3B05"/>
    <w:rsid w:val="006C3961"/>
    <w:rsid w:val="006D287A"/>
    <w:rsid w:val="006E71DF"/>
    <w:rsid w:val="006F58EB"/>
    <w:rsid w:val="00720CCA"/>
    <w:rsid w:val="007268B5"/>
    <w:rsid w:val="00730A0B"/>
    <w:rsid w:val="00736EC4"/>
    <w:rsid w:val="00751B63"/>
    <w:rsid w:val="007568F0"/>
    <w:rsid w:val="00773684"/>
    <w:rsid w:val="00785A0F"/>
    <w:rsid w:val="00787137"/>
    <w:rsid w:val="007925DB"/>
    <w:rsid w:val="007A6F05"/>
    <w:rsid w:val="007C01A3"/>
    <w:rsid w:val="007C4D3E"/>
    <w:rsid w:val="007D2C2F"/>
    <w:rsid w:val="007D5B38"/>
    <w:rsid w:val="007D7CB6"/>
    <w:rsid w:val="007E28EF"/>
    <w:rsid w:val="007E3CBC"/>
    <w:rsid w:val="007E71BF"/>
    <w:rsid w:val="007F7416"/>
    <w:rsid w:val="00810B52"/>
    <w:rsid w:val="0081784F"/>
    <w:rsid w:val="00822192"/>
    <w:rsid w:val="00825E8F"/>
    <w:rsid w:val="0082601C"/>
    <w:rsid w:val="00826338"/>
    <w:rsid w:val="00826A10"/>
    <w:rsid w:val="00826C89"/>
    <w:rsid w:val="008419DB"/>
    <w:rsid w:val="008427E4"/>
    <w:rsid w:val="00847D62"/>
    <w:rsid w:val="0085390B"/>
    <w:rsid w:val="00853AB3"/>
    <w:rsid w:val="00853CB4"/>
    <w:rsid w:val="00874053"/>
    <w:rsid w:val="008749CD"/>
    <w:rsid w:val="00876773"/>
    <w:rsid w:val="00880EFF"/>
    <w:rsid w:val="00897F30"/>
    <w:rsid w:val="008A3635"/>
    <w:rsid w:val="008B683E"/>
    <w:rsid w:val="008F073E"/>
    <w:rsid w:val="008F5CD2"/>
    <w:rsid w:val="008F5DC6"/>
    <w:rsid w:val="00905CC9"/>
    <w:rsid w:val="009068A8"/>
    <w:rsid w:val="0090710C"/>
    <w:rsid w:val="009072C1"/>
    <w:rsid w:val="00916A7D"/>
    <w:rsid w:val="009204DD"/>
    <w:rsid w:val="00941525"/>
    <w:rsid w:val="0095082E"/>
    <w:rsid w:val="009564DE"/>
    <w:rsid w:val="00981FCA"/>
    <w:rsid w:val="009A6AAE"/>
    <w:rsid w:val="009C24E5"/>
    <w:rsid w:val="009E0184"/>
    <w:rsid w:val="009E08B6"/>
    <w:rsid w:val="009E2708"/>
    <w:rsid w:val="009E4BA0"/>
    <w:rsid w:val="009F0680"/>
    <w:rsid w:val="009F3818"/>
    <w:rsid w:val="00A048E8"/>
    <w:rsid w:val="00A10223"/>
    <w:rsid w:val="00A121A6"/>
    <w:rsid w:val="00A177D1"/>
    <w:rsid w:val="00A347D8"/>
    <w:rsid w:val="00A4170A"/>
    <w:rsid w:val="00A536B6"/>
    <w:rsid w:val="00A547B6"/>
    <w:rsid w:val="00A612FD"/>
    <w:rsid w:val="00A620B1"/>
    <w:rsid w:val="00A70397"/>
    <w:rsid w:val="00A70653"/>
    <w:rsid w:val="00A7232A"/>
    <w:rsid w:val="00A724F0"/>
    <w:rsid w:val="00A857E9"/>
    <w:rsid w:val="00A86B15"/>
    <w:rsid w:val="00A9023C"/>
    <w:rsid w:val="00A9151B"/>
    <w:rsid w:val="00AA274B"/>
    <w:rsid w:val="00AA2C32"/>
    <w:rsid w:val="00AC278C"/>
    <w:rsid w:val="00AC44F9"/>
    <w:rsid w:val="00AD220C"/>
    <w:rsid w:val="00AD51A7"/>
    <w:rsid w:val="00AE7821"/>
    <w:rsid w:val="00AF3302"/>
    <w:rsid w:val="00B03B7A"/>
    <w:rsid w:val="00B11CE4"/>
    <w:rsid w:val="00B27B45"/>
    <w:rsid w:val="00B37A35"/>
    <w:rsid w:val="00B37A8A"/>
    <w:rsid w:val="00B407D1"/>
    <w:rsid w:val="00B41C74"/>
    <w:rsid w:val="00B41D94"/>
    <w:rsid w:val="00B52E74"/>
    <w:rsid w:val="00B76A86"/>
    <w:rsid w:val="00B80378"/>
    <w:rsid w:val="00B84453"/>
    <w:rsid w:val="00B92D24"/>
    <w:rsid w:val="00B932DA"/>
    <w:rsid w:val="00BC4DC9"/>
    <w:rsid w:val="00BC52E6"/>
    <w:rsid w:val="00BD7D93"/>
    <w:rsid w:val="00BE740B"/>
    <w:rsid w:val="00C00E88"/>
    <w:rsid w:val="00C00F3B"/>
    <w:rsid w:val="00C1072F"/>
    <w:rsid w:val="00C15953"/>
    <w:rsid w:val="00C20D15"/>
    <w:rsid w:val="00C372E4"/>
    <w:rsid w:val="00C418AD"/>
    <w:rsid w:val="00C52B82"/>
    <w:rsid w:val="00C83F26"/>
    <w:rsid w:val="00C85DDE"/>
    <w:rsid w:val="00CB36AB"/>
    <w:rsid w:val="00CB7EA0"/>
    <w:rsid w:val="00CD10EC"/>
    <w:rsid w:val="00CD76E9"/>
    <w:rsid w:val="00CF2741"/>
    <w:rsid w:val="00D11F27"/>
    <w:rsid w:val="00D157BB"/>
    <w:rsid w:val="00D23EEC"/>
    <w:rsid w:val="00D31AD8"/>
    <w:rsid w:val="00D423DD"/>
    <w:rsid w:val="00D43215"/>
    <w:rsid w:val="00D55902"/>
    <w:rsid w:val="00D57120"/>
    <w:rsid w:val="00D57635"/>
    <w:rsid w:val="00D57AE2"/>
    <w:rsid w:val="00D60345"/>
    <w:rsid w:val="00D6381E"/>
    <w:rsid w:val="00D65EE7"/>
    <w:rsid w:val="00D71D31"/>
    <w:rsid w:val="00D73D52"/>
    <w:rsid w:val="00D775B8"/>
    <w:rsid w:val="00D8657A"/>
    <w:rsid w:val="00D90F04"/>
    <w:rsid w:val="00D912E9"/>
    <w:rsid w:val="00D95FE0"/>
    <w:rsid w:val="00DD5680"/>
    <w:rsid w:val="00DF0DEC"/>
    <w:rsid w:val="00E10E5E"/>
    <w:rsid w:val="00E226EF"/>
    <w:rsid w:val="00E22920"/>
    <w:rsid w:val="00E33548"/>
    <w:rsid w:val="00E54C5F"/>
    <w:rsid w:val="00E64992"/>
    <w:rsid w:val="00E714BC"/>
    <w:rsid w:val="00E719CD"/>
    <w:rsid w:val="00E83569"/>
    <w:rsid w:val="00E95383"/>
    <w:rsid w:val="00EC7181"/>
    <w:rsid w:val="00EE2DD1"/>
    <w:rsid w:val="00EE4E0F"/>
    <w:rsid w:val="00EF1142"/>
    <w:rsid w:val="00EF6B77"/>
    <w:rsid w:val="00F01ACD"/>
    <w:rsid w:val="00F23A55"/>
    <w:rsid w:val="00F23DEE"/>
    <w:rsid w:val="00F30291"/>
    <w:rsid w:val="00F36AF2"/>
    <w:rsid w:val="00F41894"/>
    <w:rsid w:val="00F430D8"/>
    <w:rsid w:val="00F45965"/>
    <w:rsid w:val="00F5231C"/>
    <w:rsid w:val="00F529C6"/>
    <w:rsid w:val="00F534CB"/>
    <w:rsid w:val="00F57E82"/>
    <w:rsid w:val="00F67F43"/>
    <w:rsid w:val="00F73137"/>
    <w:rsid w:val="00F75191"/>
    <w:rsid w:val="00F80DDD"/>
    <w:rsid w:val="00F82047"/>
    <w:rsid w:val="00F85CDE"/>
    <w:rsid w:val="00F85E9A"/>
    <w:rsid w:val="00F86FB3"/>
    <w:rsid w:val="00F90A34"/>
    <w:rsid w:val="00F92F10"/>
    <w:rsid w:val="00F95E9A"/>
    <w:rsid w:val="00FB7607"/>
    <w:rsid w:val="00FC68B0"/>
    <w:rsid w:val="00FE0481"/>
    <w:rsid w:val="01B32C3A"/>
    <w:rsid w:val="02127B25"/>
    <w:rsid w:val="037F2773"/>
    <w:rsid w:val="06846916"/>
    <w:rsid w:val="06C40151"/>
    <w:rsid w:val="07A64A67"/>
    <w:rsid w:val="09F75761"/>
    <w:rsid w:val="0C8A7403"/>
    <w:rsid w:val="0F2F63D9"/>
    <w:rsid w:val="0FB37347"/>
    <w:rsid w:val="120B7BE2"/>
    <w:rsid w:val="1302311F"/>
    <w:rsid w:val="132D27DF"/>
    <w:rsid w:val="1357362B"/>
    <w:rsid w:val="14272EA2"/>
    <w:rsid w:val="148759AD"/>
    <w:rsid w:val="149253FF"/>
    <w:rsid w:val="14AB5ED6"/>
    <w:rsid w:val="17CC70FE"/>
    <w:rsid w:val="184743D9"/>
    <w:rsid w:val="187B4AB8"/>
    <w:rsid w:val="18EA76D6"/>
    <w:rsid w:val="1DDA151B"/>
    <w:rsid w:val="1F5F475E"/>
    <w:rsid w:val="208E54ED"/>
    <w:rsid w:val="209220EC"/>
    <w:rsid w:val="242E1C8E"/>
    <w:rsid w:val="25923F4D"/>
    <w:rsid w:val="25C93DBB"/>
    <w:rsid w:val="27676DAE"/>
    <w:rsid w:val="27AA7668"/>
    <w:rsid w:val="27CA3F81"/>
    <w:rsid w:val="28DF530A"/>
    <w:rsid w:val="292F766C"/>
    <w:rsid w:val="29790ABB"/>
    <w:rsid w:val="2A626EE5"/>
    <w:rsid w:val="2EAE092A"/>
    <w:rsid w:val="2F5C246D"/>
    <w:rsid w:val="30EE5C11"/>
    <w:rsid w:val="32701F68"/>
    <w:rsid w:val="33B20B2C"/>
    <w:rsid w:val="34904C1F"/>
    <w:rsid w:val="35686C87"/>
    <w:rsid w:val="364A5795"/>
    <w:rsid w:val="36E21052"/>
    <w:rsid w:val="388127A4"/>
    <w:rsid w:val="3A4A0C98"/>
    <w:rsid w:val="3B82520A"/>
    <w:rsid w:val="3E16093B"/>
    <w:rsid w:val="40014ABD"/>
    <w:rsid w:val="43946EA8"/>
    <w:rsid w:val="43B126D6"/>
    <w:rsid w:val="44B80AE3"/>
    <w:rsid w:val="46995568"/>
    <w:rsid w:val="47EC741F"/>
    <w:rsid w:val="480E62CF"/>
    <w:rsid w:val="48E11081"/>
    <w:rsid w:val="49790D27"/>
    <w:rsid w:val="4E3C51A6"/>
    <w:rsid w:val="4EA57F5B"/>
    <w:rsid w:val="4F475660"/>
    <w:rsid w:val="4F91042F"/>
    <w:rsid w:val="4FA77CEC"/>
    <w:rsid w:val="4FDD51EF"/>
    <w:rsid w:val="534B409A"/>
    <w:rsid w:val="54A6047C"/>
    <w:rsid w:val="575F02D9"/>
    <w:rsid w:val="57F16502"/>
    <w:rsid w:val="58091DB8"/>
    <w:rsid w:val="5922789C"/>
    <w:rsid w:val="5A0C5980"/>
    <w:rsid w:val="5ABB2BF9"/>
    <w:rsid w:val="5D2154B5"/>
    <w:rsid w:val="5D2748E5"/>
    <w:rsid w:val="5EEF528C"/>
    <w:rsid w:val="5FAC7A2F"/>
    <w:rsid w:val="613C578C"/>
    <w:rsid w:val="61ED393D"/>
    <w:rsid w:val="62B17A6B"/>
    <w:rsid w:val="62F91608"/>
    <w:rsid w:val="635737F1"/>
    <w:rsid w:val="6595274A"/>
    <w:rsid w:val="68243590"/>
    <w:rsid w:val="6BA77A57"/>
    <w:rsid w:val="6D921163"/>
    <w:rsid w:val="6EB16BDF"/>
    <w:rsid w:val="6F16174A"/>
    <w:rsid w:val="6FB94E90"/>
    <w:rsid w:val="70FB14A4"/>
    <w:rsid w:val="72E53D7C"/>
    <w:rsid w:val="72F97BB3"/>
    <w:rsid w:val="74304FCC"/>
    <w:rsid w:val="74BC16CF"/>
    <w:rsid w:val="74E76471"/>
    <w:rsid w:val="75023CF6"/>
    <w:rsid w:val="77D61299"/>
    <w:rsid w:val="795D134B"/>
    <w:rsid w:val="7AD14C6A"/>
    <w:rsid w:val="7B581EAA"/>
    <w:rsid w:val="7C620762"/>
    <w:rsid w:val="7C8E1557"/>
    <w:rsid w:val="7EFB0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0"/>
    <w:pPr>
      <w:ind w:firstLine="420"/>
    </w:pPr>
    <w:rPr>
      <w:kern w:val="0"/>
      <w:sz w:val="20"/>
      <w:szCs w:val="20"/>
    </w:rPr>
  </w:style>
  <w:style w:type="paragraph" w:styleId="5">
    <w:name w:val="annotation text"/>
    <w:basedOn w:val="1"/>
    <w:link w:val="30"/>
    <w:semiHidden/>
    <w:unhideWhenUsed/>
    <w:qFormat/>
    <w:uiPriority w:val="99"/>
    <w:pPr>
      <w:jc w:val="left"/>
    </w:pPr>
  </w:style>
  <w:style w:type="paragraph" w:styleId="6">
    <w:name w:val="Body Text"/>
    <w:basedOn w:val="1"/>
    <w:link w:val="32"/>
    <w:unhideWhenUsed/>
    <w:qFormat/>
    <w:uiPriority w:val="99"/>
    <w:pPr>
      <w:spacing w:after="120"/>
    </w:pPr>
  </w:style>
  <w:style w:type="paragraph" w:styleId="7">
    <w:name w:val="Plain Text"/>
    <w:basedOn w:val="1"/>
    <w:next w:val="8"/>
    <w:link w:val="23"/>
    <w:unhideWhenUsed/>
    <w:qFormat/>
    <w:uiPriority w:val="99"/>
    <w:rPr>
      <w:rFonts w:ascii="宋体" w:hAnsi="Courier New"/>
    </w:rPr>
  </w:style>
  <w:style w:type="paragraph" w:styleId="8">
    <w:name w:val="Date"/>
    <w:basedOn w:val="1"/>
    <w:next w:val="1"/>
    <w:link w:val="24"/>
    <w:semiHidden/>
    <w:unhideWhenUsed/>
    <w:qFormat/>
    <w:uiPriority w:val="99"/>
    <w:pPr>
      <w:ind w:left="100" w:leftChars="2500"/>
    </w:pPr>
  </w:style>
  <w:style w:type="paragraph" w:styleId="9">
    <w:name w:val="Balloon Text"/>
    <w:basedOn w:val="1"/>
    <w:link w:val="22"/>
    <w:semiHidden/>
    <w:unhideWhenUsed/>
    <w:qFormat/>
    <w:uiPriority w:val="99"/>
    <w:rPr>
      <w:sz w:val="18"/>
      <w:szCs w:val="18"/>
    </w:rPr>
  </w:style>
  <w:style w:type="paragraph" w:styleId="10">
    <w:name w:val="footer"/>
    <w:basedOn w:val="1"/>
    <w:link w:val="21"/>
    <w:unhideWhenUsed/>
    <w:qFormat/>
    <w:uiPriority w:val="99"/>
    <w:pPr>
      <w:tabs>
        <w:tab w:val="center" w:pos="4153"/>
        <w:tab w:val="right" w:pos="8306"/>
      </w:tabs>
      <w:snapToGrid w:val="0"/>
      <w:jc w:val="left"/>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annotation subject"/>
    <w:basedOn w:val="5"/>
    <w:next w:val="5"/>
    <w:link w:val="31"/>
    <w:semiHidden/>
    <w:unhideWhenUsed/>
    <w:qFormat/>
    <w:uiPriority w:val="99"/>
    <w:rPr>
      <w:b/>
      <w:bCs/>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Strong"/>
    <w:basedOn w:val="15"/>
    <w:qFormat/>
    <w:uiPriority w:val="22"/>
    <w:rPr>
      <w:b/>
    </w:rPr>
  </w:style>
  <w:style w:type="character" w:styleId="17">
    <w:name w:val="Hyperlink"/>
    <w:basedOn w:val="15"/>
    <w:semiHidden/>
    <w:unhideWhenUsed/>
    <w:qFormat/>
    <w:uiPriority w:val="99"/>
    <w:rPr>
      <w:color w:val="0000FF"/>
      <w:u w:val="single"/>
    </w:rPr>
  </w:style>
  <w:style w:type="character" w:styleId="18">
    <w:name w:val="annotation reference"/>
    <w:basedOn w:val="15"/>
    <w:unhideWhenUsed/>
    <w:qFormat/>
    <w:uiPriority w:val="99"/>
    <w:rPr>
      <w:sz w:val="21"/>
      <w:szCs w:val="21"/>
    </w:rPr>
  </w:style>
  <w:style w:type="paragraph" w:styleId="1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0">
    <w:name w:val="页眉 Char"/>
    <w:basedOn w:val="15"/>
    <w:link w:val="11"/>
    <w:qFormat/>
    <w:uiPriority w:val="99"/>
    <w:rPr>
      <w:sz w:val="18"/>
      <w:szCs w:val="18"/>
    </w:rPr>
  </w:style>
  <w:style w:type="character" w:customStyle="1" w:styleId="21">
    <w:name w:val="页脚 Char"/>
    <w:basedOn w:val="15"/>
    <w:link w:val="10"/>
    <w:qFormat/>
    <w:uiPriority w:val="99"/>
    <w:rPr>
      <w:sz w:val="18"/>
      <w:szCs w:val="18"/>
    </w:rPr>
  </w:style>
  <w:style w:type="character" w:customStyle="1" w:styleId="22">
    <w:name w:val="批注框文本 Char"/>
    <w:basedOn w:val="15"/>
    <w:link w:val="9"/>
    <w:semiHidden/>
    <w:qFormat/>
    <w:uiPriority w:val="99"/>
    <w:rPr>
      <w:sz w:val="18"/>
      <w:szCs w:val="18"/>
    </w:rPr>
  </w:style>
  <w:style w:type="character" w:customStyle="1" w:styleId="23">
    <w:name w:val="纯文本 Char"/>
    <w:basedOn w:val="15"/>
    <w:link w:val="7"/>
    <w:qFormat/>
    <w:uiPriority w:val="99"/>
    <w:rPr>
      <w:rFonts w:ascii="宋体" w:hAnsi="Courier New"/>
      <w:kern w:val="2"/>
      <w:sz w:val="21"/>
      <w:szCs w:val="22"/>
    </w:rPr>
  </w:style>
  <w:style w:type="character" w:customStyle="1" w:styleId="24">
    <w:name w:val="日期 Char"/>
    <w:basedOn w:val="15"/>
    <w:link w:val="8"/>
    <w:semiHidden/>
    <w:qFormat/>
    <w:uiPriority w:val="99"/>
    <w:rPr>
      <w:kern w:val="2"/>
      <w:sz w:val="21"/>
      <w:szCs w:val="22"/>
    </w:rPr>
  </w:style>
  <w:style w:type="character" w:customStyle="1" w:styleId="25">
    <w:name w:val="font21"/>
    <w:basedOn w:val="15"/>
    <w:qFormat/>
    <w:uiPriority w:val="0"/>
    <w:rPr>
      <w:rFonts w:ascii="Calibri" w:hAnsi="Calibri" w:cs="Calibri"/>
      <w:color w:val="000000"/>
      <w:sz w:val="22"/>
      <w:szCs w:val="22"/>
      <w:u w:val="none"/>
    </w:rPr>
  </w:style>
  <w:style w:type="character" w:customStyle="1" w:styleId="26">
    <w:name w:val="font41"/>
    <w:basedOn w:val="15"/>
    <w:qFormat/>
    <w:uiPriority w:val="0"/>
    <w:rPr>
      <w:rFonts w:hint="eastAsia" w:ascii="宋体" w:hAnsi="宋体" w:eastAsia="宋体" w:cs="宋体"/>
      <w:color w:val="000000"/>
      <w:sz w:val="22"/>
      <w:szCs w:val="22"/>
      <w:u w:val="none"/>
    </w:rPr>
  </w:style>
  <w:style w:type="character" w:customStyle="1" w:styleId="27">
    <w:name w:val="font11"/>
    <w:basedOn w:val="15"/>
    <w:qFormat/>
    <w:uiPriority w:val="0"/>
    <w:rPr>
      <w:rFonts w:hint="default" w:ascii="Calibri" w:hAnsi="Calibri" w:cs="Calibri"/>
      <w:color w:val="000000"/>
      <w:sz w:val="22"/>
      <w:szCs w:val="22"/>
      <w:u w:val="none"/>
    </w:rPr>
  </w:style>
  <w:style w:type="character" w:customStyle="1" w:styleId="28">
    <w:name w:val="font01"/>
    <w:basedOn w:val="15"/>
    <w:qFormat/>
    <w:uiPriority w:val="0"/>
    <w:rPr>
      <w:rFonts w:hint="default" w:ascii="Calibri" w:hAnsi="Calibri" w:cs="Calibri"/>
      <w:color w:val="000000"/>
      <w:sz w:val="22"/>
      <w:szCs w:val="22"/>
      <w:u w:val="none"/>
    </w:rPr>
  </w:style>
  <w:style w:type="character" w:customStyle="1" w:styleId="29">
    <w:name w:val="font31"/>
    <w:basedOn w:val="15"/>
    <w:qFormat/>
    <w:uiPriority w:val="0"/>
    <w:rPr>
      <w:rFonts w:hint="eastAsia" w:ascii="宋体" w:hAnsi="宋体" w:eastAsia="宋体" w:cs="宋体"/>
      <w:color w:val="000000"/>
      <w:sz w:val="22"/>
      <w:szCs w:val="22"/>
      <w:u w:val="none"/>
    </w:rPr>
  </w:style>
  <w:style w:type="character" w:customStyle="1" w:styleId="30">
    <w:name w:val="批注文字 Char"/>
    <w:basedOn w:val="15"/>
    <w:link w:val="5"/>
    <w:semiHidden/>
    <w:qFormat/>
    <w:uiPriority w:val="99"/>
    <w:rPr>
      <w:rFonts w:asciiTheme="minorHAnsi" w:hAnsiTheme="minorHAnsi" w:eastAsiaTheme="minorEastAsia" w:cstheme="minorBidi"/>
      <w:kern w:val="2"/>
      <w:sz w:val="21"/>
      <w:szCs w:val="22"/>
    </w:rPr>
  </w:style>
  <w:style w:type="character" w:customStyle="1" w:styleId="31">
    <w:name w:val="批注主题 Char"/>
    <w:basedOn w:val="30"/>
    <w:link w:val="12"/>
    <w:semiHidden/>
    <w:qFormat/>
    <w:uiPriority w:val="99"/>
    <w:rPr>
      <w:rFonts w:asciiTheme="minorHAnsi" w:hAnsiTheme="minorHAnsi" w:eastAsiaTheme="minorEastAsia" w:cstheme="minorBidi"/>
      <w:b/>
      <w:bCs/>
      <w:kern w:val="2"/>
      <w:sz w:val="21"/>
      <w:szCs w:val="22"/>
    </w:rPr>
  </w:style>
  <w:style w:type="character" w:customStyle="1" w:styleId="32">
    <w:name w:val="正文文本 Char"/>
    <w:basedOn w:val="15"/>
    <w:link w:val="6"/>
    <w:qFormat/>
    <w:uiPriority w:val="99"/>
    <w:rPr>
      <w:kern w:val="2"/>
      <w:sz w:val="21"/>
      <w:szCs w:val="22"/>
    </w:rPr>
  </w:style>
  <w:style w:type="paragraph" w:customStyle="1" w:styleId="33">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4">
    <w:name w:val="标题2"/>
    <w:basedOn w:val="1"/>
    <w:next w:val="1"/>
    <w:qFormat/>
    <w:uiPriority w:val="0"/>
    <w:pPr>
      <w:ind w:firstLine="0" w:firstLineChars="0"/>
      <w:outlineLvl w:val="1"/>
    </w:pPr>
    <w:rPr>
      <w:b/>
    </w:rPr>
  </w:style>
  <w:style w:type="paragraph" w:styleId="35">
    <w:name w:val="Quote"/>
    <w:basedOn w:val="1"/>
    <w:next w:val="1"/>
    <w:qFormat/>
    <w:uiPriority w:val="0"/>
    <w:pPr>
      <w:wordWrap w:val="0"/>
      <w:spacing w:before="200" w:after="160"/>
      <w:ind w:left="864" w:right="864"/>
      <w:jc w:val="center"/>
    </w:pPr>
    <w:rPr>
      <w:i/>
      <w:sz w:val="21"/>
      <w:lang w:val="en-US" w:eastAsia="zh-CN" w:bidi="ar-SA"/>
    </w:rPr>
  </w:style>
  <w:style w:type="paragraph" w:customStyle="1" w:styleId="36">
    <w:name w:val="标题3（文件格式）"/>
    <w:basedOn w:val="1"/>
    <w:next w:val="1"/>
    <w:qFormat/>
    <w:uiPriority w:val="0"/>
    <w:pPr>
      <w:spacing w:line="480" w:lineRule="exact"/>
      <w:ind w:firstLine="0" w:firstLineChars="0"/>
      <w:outlineLvl w:val="2"/>
    </w:pPr>
    <w:rPr>
      <w:rFonts w:hAnsi="宋体"/>
      <w:b/>
      <w:color w:val="000000"/>
      <w:sz w:val="30"/>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17</Pages>
  <Words>7067</Words>
  <Characters>7215</Characters>
  <Lines>37</Lines>
  <Paragraphs>10</Paragraphs>
  <TotalTime>1</TotalTime>
  <ScaleCrop>false</ScaleCrop>
  <LinksUpToDate>false</LinksUpToDate>
  <CharactersWithSpaces>8442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2015-12-16T03:11:00Z</dcterms:created>
  <dc:creator>dreamsummit</dc:creator>
  <cp:lastModifiedBy> RONG</cp:lastModifiedBy>
  <cp:lastPrinted>2021-06-16T00:28:00Z</cp:lastPrinted>
  <dcterms:modified xsi:type="dcterms:W3CDTF">2026-06-30T07:56:58Z</dcterms:modified>
  <cp:revision>218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164D07F4516D463B80E54DBB79FBD615_13</vt:lpwstr>
  </property>
  <property fmtid="{D5CDD505-2E9C-101B-9397-08002B2CF9AE}" pid="4" name="KSOTemplateDocerSaveRecord">
    <vt:lpwstr>eyJoZGlkIjoiMDQ0ZTdmOTFlZjc0OWU0NDhmMzA1YTM2NmI5MDg1MzIiLCJ1c2VySWQiOiI0MDk0NTEyMTIifQ==</vt:lpwstr>
  </property>
</Properties>
</file>