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3A01A">
      <w:pPr>
        <w:pStyle w:val="19"/>
        <w:jc w:val="center"/>
        <w:rPr>
          <w:rFonts w:hint="eastAsia"/>
          <w:b/>
          <w:sz w:val="40"/>
          <w:szCs w:val="40"/>
          <w:lang w:val="en-US" w:eastAsia="zh-CN"/>
        </w:rPr>
      </w:pPr>
      <w:r>
        <w:rPr>
          <w:rFonts w:hint="eastAsia"/>
          <w:b/>
          <w:sz w:val="44"/>
          <w:szCs w:val="44"/>
        </w:rPr>
        <w:t xml:space="preserve"> </w:t>
      </w:r>
      <w:r>
        <w:rPr>
          <w:rFonts w:hint="eastAsia"/>
          <w:b/>
          <w:sz w:val="40"/>
          <w:szCs w:val="40"/>
        </w:rPr>
        <w:t>柳州职业技术大学官塘校区安防监控系统升级采购</w:t>
      </w:r>
      <w:r>
        <w:rPr>
          <w:rFonts w:hint="eastAsia"/>
          <w:b/>
          <w:sz w:val="40"/>
          <w:szCs w:val="40"/>
          <w:lang w:val="en-US" w:eastAsia="zh-CN"/>
        </w:rPr>
        <w:t>项目</w:t>
      </w:r>
    </w:p>
    <w:p w14:paraId="6D519ED4">
      <w:pPr>
        <w:pStyle w:val="19"/>
        <w:jc w:val="center"/>
        <w:rPr>
          <w:rFonts w:hint="eastAsia" w:eastAsiaTheme="minorEastAsia"/>
          <w:color w:val="FF0000"/>
          <w:sz w:val="21"/>
          <w:szCs w:val="40"/>
          <w:lang w:eastAsia="zh-CN"/>
        </w:rPr>
      </w:pPr>
      <w:r>
        <w:rPr>
          <w:rFonts w:hint="eastAsia"/>
          <w:b/>
          <w:sz w:val="40"/>
          <w:szCs w:val="40"/>
        </w:rPr>
        <w:t>市场询价公告</w:t>
      </w:r>
    </w:p>
    <w:p w14:paraId="69E3EE3A">
      <w:pPr>
        <w:numPr>
          <w:ilvl w:val="0"/>
          <w:numId w:val="1"/>
        </w:num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b w:val="0"/>
          <w:bCs/>
          <w:sz w:val="24"/>
          <w:szCs w:val="24"/>
          <w:lang w:val="en-US" w:eastAsia="zh-CN"/>
        </w:rPr>
        <w:t>官塘校区安防监控升级采购</w:t>
      </w:r>
    </w:p>
    <w:p w14:paraId="0762B257">
      <w:pPr>
        <w:numPr>
          <w:ilvl w:val="0"/>
          <w:numId w:val="1"/>
        </w:numPr>
        <w:spacing w:line="500" w:lineRule="exact"/>
        <w:rPr>
          <w:rFonts w:ascii="宋体" w:hAnsi="宋体" w:cs="宋体"/>
          <w:sz w:val="24"/>
          <w:szCs w:val="24"/>
        </w:rPr>
      </w:pPr>
      <w:r>
        <w:rPr>
          <w:rFonts w:hint="eastAsia" w:ascii="宋体" w:hAnsi="宋体" w:cs="宋体"/>
          <w:sz w:val="24"/>
          <w:szCs w:val="24"/>
        </w:rPr>
        <w:t>询价采购项目预算金额（人民币大写）:</w:t>
      </w:r>
      <w:r>
        <w:rPr>
          <w:rFonts w:hint="eastAsia" w:ascii="宋体" w:hAnsi="宋体" w:cs="宋体"/>
          <w:sz w:val="24"/>
          <w:szCs w:val="24"/>
          <w:lang w:val="en-US" w:eastAsia="zh-CN"/>
        </w:rPr>
        <w:t>肆万柒仟元整</w:t>
      </w:r>
      <w:r>
        <w:rPr>
          <w:rFonts w:hint="eastAsia" w:ascii="宋体" w:hAnsi="宋体" w:cs="宋体"/>
          <w:sz w:val="24"/>
          <w:szCs w:val="24"/>
        </w:rPr>
        <w:t>（¥</w:t>
      </w:r>
      <w:r>
        <w:rPr>
          <w:rFonts w:hint="eastAsia" w:ascii="宋体" w:hAnsi="宋体" w:cs="宋体"/>
          <w:sz w:val="24"/>
          <w:szCs w:val="24"/>
          <w:lang w:val="en-US" w:eastAsia="zh-CN"/>
        </w:rPr>
        <w:t>47000.00</w:t>
      </w:r>
      <w:r>
        <w:rPr>
          <w:rFonts w:hint="eastAsia" w:ascii="宋体" w:hAnsi="宋体" w:cs="宋体"/>
          <w:sz w:val="24"/>
          <w:szCs w:val="24"/>
        </w:rPr>
        <w:t>）</w:t>
      </w:r>
    </w:p>
    <w:p w14:paraId="5ECCC495">
      <w:pPr>
        <w:numPr>
          <w:ilvl w:val="0"/>
          <w:numId w:val="1"/>
        </w:numPr>
        <w:spacing w:line="500" w:lineRule="exact"/>
        <w:rPr>
          <w:rFonts w:ascii="宋体" w:hAnsi="宋体" w:cs="宋体"/>
          <w:sz w:val="24"/>
          <w:szCs w:val="24"/>
        </w:rPr>
      </w:pPr>
      <w:r>
        <w:rPr>
          <w:rFonts w:hint="eastAsia" w:ascii="Arial" w:hAnsi="Arial" w:cs="Arial"/>
          <w:bCs/>
          <w:color w:val="auto"/>
          <w:kern w:val="0"/>
          <w:sz w:val="24"/>
          <w:szCs w:val="28"/>
          <w:lang w:bidi="en-US"/>
        </w:rPr>
        <w:t>评标方法：</w:t>
      </w:r>
      <w:r>
        <w:rPr>
          <w:rFonts w:hint="eastAsia" w:ascii="Arial" w:hAnsi="Arial" w:cs="Arial"/>
          <w:bCs/>
          <w:kern w:val="0"/>
          <w:sz w:val="24"/>
          <w:szCs w:val="28"/>
          <w:lang w:bidi="en-US"/>
        </w:rPr>
        <w:t>最低评标价法</w:t>
      </w:r>
    </w:p>
    <w:p w14:paraId="23E5DBA8">
      <w:pPr>
        <w:numPr>
          <w:ilvl w:val="0"/>
          <w:numId w:val="1"/>
        </w:numPr>
        <w:spacing w:line="500" w:lineRule="exact"/>
        <w:rPr>
          <w:rFonts w:ascii="宋体" w:hAnsi="宋体"/>
          <w:sz w:val="24"/>
          <w:szCs w:val="24"/>
        </w:rPr>
      </w:pPr>
      <w:r>
        <w:rPr>
          <w:rFonts w:hint="eastAsia" w:ascii="宋体" w:hAnsi="宋体"/>
          <w:sz w:val="24"/>
          <w:szCs w:val="24"/>
        </w:rPr>
        <w:t>采购要求</w:t>
      </w:r>
    </w:p>
    <w:p w14:paraId="073454ED">
      <w:pPr>
        <w:pStyle w:val="5"/>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3"/>
        <w:tblW w:w="9898" w:type="dxa"/>
        <w:tblInd w:w="0" w:type="dxa"/>
        <w:tblLayout w:type="fixed"/>
        <w:tblCellMar>
          <w:top w:w="0" w:type="dxa"/>
          <w:left w:w="108" w:type="dxa"/>
          <w:bottom w:w="0" w:type="dxa"/>
          <w:right w:w="108" w:type="dxa"/>
        </w:tblCellMar>
      </w:tblPr>
      <w:tblGrid>
        <w:gridCol w:w="489"/>
        <w:gridCol w:w="600"/>
        <w:gridCol w:w="7796"/>
        <w:gridCol w:w="525"/>
        <w:gridCol w:w="488"/>
      </w:tblGrid>
      <w:tr w14:paraId="1714684B">
        <w:tblPrEx>
          <w:tblCellMar>
            <w:top w:w="0" w:type="dxa"/>
            <w:left w:w="108" w:type="dxa"/>
            <w:bottom w:w="0" w:type="dxa"/>
            <w:right w:w="108" w:type="dxa"/>
          </w:tblCellMar>
        </w:tblPrEx>
        <w:trPr>
          <w:trHeight w:val="1066" w:hRule="atLeast"/>
        </w:trPr>
        <w:tc>
          <w:tcPr>
            <w:tcW w:w="489" w:type="dxa"/>
            <w:tcBorders>
              <w:top w:val="single" w:color="auto" w:sz="4" w:space="0"/>
              <w:left w:val="single" w:color="auto" w:sz="4" w:space="0"/>
              <w:bottom w:val="single" w:color="auto" w:sz="4" w:space="0"/>
              <w:right w:val="single" w:color="auto" w:sz="4" w:space="0"/>
            </w:tcBorders>
            <w:vAlign w:val="center"/>
          </w:tcPr>
          <w:p w14:paraId="4E960D4A">
            <w:pPr>
              <w:rPr>
                <w:rFonts w:hint="eastAsia"/>
              </w:rPr>
            </w:pPr>
            <w:r>
              <w:rPr>
                <w:rFonts w:hint="eastAsia"/>
              </w:rPr>
              <w:t>序号</w:t>
            </w:r>
          </w:p>
        </w:tc>
        <w:tc>
          <w:tcPr>
            <w:tcW w:w="600" w:type="dxa"/>
            <w:tcBorders>
              <w:top w:val="single" w:color="auto" w:sz="4" w:space="0"/>
              <w:left w:val="nil"/>
              <w:bottom w:val="single" w:color="auto" w:sz="4" w:space="0"/>
              <w:right w:val="single" w:color="auto" w:sz="4" w:space="0"/>
            </w:tcBorders>
            <w:vAlign w:val="center"/>
          </w:tcPr>
          <w:p w14:paraId="6281FB27">
            <w:pPr>
              <w:rPr>
                <w:rFonts w:hint="eastAsia"/>
              </w:rPr>
            </w:pPr>
            <w:r>
              <w:rPr>
                <w:rFonts w:hint="eastAsia"/>
              </w:rPr>
              <w:t>名称</w:t>
            </w:r>
          </w:p>
        </w:tc>
        <w:tc>
          <w:tcPr>
            <w:tcW w:w="7796" w:type="dxa"/>
            <w:tcBorders>
              <w:top w:val="single" w:color="auto" w:sz="4" w:space="0"/>
              <w:left w:val="nil"/>
              <w:bottom w:val="single" w:color="auto" w:sz="4" w:space="0"/>
              <w:right w:val="single" w:color="auto" w:sz="4" w:space="0"/>
            </w:tcBorders>
            <w:vAlign w:val="center"/>
          </w:tcPr>
          <w:p w14:paraId="32AEEB21">
            <w:pPr>
              <w:jc w:val="center"/>
              <w:rPr>
                <w:rFonts w:hint="eastAsia"/>
              </w:rPr>
            </w:pPr>
            <w:r>
              <w:rPr>
                <w:rFonts w:hint="eastAsia"/>
              </w:rPr>
              <w:t>参数要求</w:t>
            </w:r>
          </w:p>
        </w:tc>
        <w:tc>
          <w:tcPr>
            <w:tcW w:w="525" w:type="dxa"/>
            <w:tcBorders>
              <w:top w:val="single" w:color="auto" w:sz="4" w:space="0"/>
              <w:left w:val="nil"/>
              <w:bottom w:val="single" w:color="auto" w:sz="4" w:space="0"/>
              <w:right w:val="single" w:color="auto" w:sz="4" w:space="0"/>
            </w:tcBorders>
            <w:vAlign w:val="center"/>
          </w:tcPr>
          <w:p w14:paraId="5630E850">
            <w:pPr>
              <w:rPr>
                <w:rFonts w:hint="eastAsia"/>
              </w:rPr>
            </w:pPr>
            <w:r>
              <w:rPr>
                <w:rFonts w:hint="eastAsia"/>
              </w:rPr>
              <w:t>单位</w:t>
            </w:r>
          </w:p>
        </w:tc>
        <w:tc>
          <w:tcPr>
            <w:tcW w:w="488" w:type="dxa"/>
            <w:tcBorders>
              <w:top w:val="single" w:color="auto" w:sz="4" w:space="0"/>
              <w:left w:val="single" w:color="auto" w:sz="4" w:space="0"/>
              <w:bottom w:val="single" w:color="auto" w:sz="4" w:space="0"/>
              <w:right w:val="single" w:color="auto" w:sz="4" w:space="0"/>
            </w:tcBorders>
            <w:vAlign w:val="center"/>
          </w:tcPr>
          <w:p w14:paraId="48643301">
            <w:pPr>
              <w:rPr>
                <w:rFonts w:hint="eastAsia"/>
              </w:rPr>
            </w:pPr>
            <w:r>
              <w:rPr>
                <w:rFonts w:hint="eastAsia"/>
              </w:rPr>
              <w:t>数量</w:t>
            </w:r>
          </w:p>
        </w:tc>
      </w:tr>
      <w:tr w14:paraId="559BF8B7">
        <w:tblPrEx>
          <w:tblCellMar>
            <w:top w:w="0" w:type="dxa"/>
            <w:left w:w="108" w:type="dxa"/>
            <w:bottom w:w="0" w:type="dxa"/>
            <w:right w:w="108" w:type="dxa"/>
          </w:tblCellMar>
        </w:tblPrEx>
        <w:trPr>
          <w:trHeight w:val="972" w:hRule="atLeast"/>
        </w:trPr>
        <w:tc>
          <w:tcPr>
            <w:tcW w:w="489" w:type="dxa"/>
            <w:tcBorders>
              <w:top w:val="nil"/>
              <w:left w:val="single" w:color="auto" w:sz="4" w:space="0"/>
              <w:bottom w:val="single" w:color="auto" w:sz="4" w:space="0"/>
              <w:right w:val="single" w:color="auto" w:sz="4" w:space="0"/>
            </w:tcBorders>
            <w:vAlign w:val="top"/>
          </w:tcPr>
          <w:p w14:paraId="27F990F7">
            <w:pPr>
              <w:rPr>
                <w:rFonts w:hint="eastAsia"/>
              </w:rPr>
            </w:pPr>
            <w:r>
              <w:rPr>
                <w:rFonts w:hint="eastAsia"/>
                <w:lang w:val="en-US" w:eastAsia="zh-CN"/>
              </w:rPr>
              <w:t>1</w:t>
            </w:r>
          </w:p>
        </w:tc>
        <w:tc>
          <w:tcPr>
            <w:tcW w:w="600" w:type="dxa"/>
            <w:tcBorders>
              <w:top w:val="nil"/>
              <w:left w:val="nil"/>
              <w:bottom w:val="single" w:color="auto" w:sz="4" w:space="0"/>
              <w:right w:val="single" w:color="auto" w:sz="4" w:space="0"/>
            </w:tcBorders>
            <w:vAlign w:val="top"/>
          </w:tcPr>
          <w:p w14:paraId="1081AD4A">
            <w:pPr>
              <w:rPr>
                <w:rFonts w:hint="eastAsia"/>
              </w:rPr>
            </w:pPr>
            <w:r>
              <w:rPr>
                <w:rFonts w:hint="eastAsia"/>
              </w:rPr>
              <w:t>安防监控系统平台迁移及利</w:t>
            </w:r>
          </w:p>
          <w:p w14:paraId="5788A98D">
            <w:pPr>
              <w:rPr>
                <w:rFonts w:hint="eastAsia"/>
              </w:rPr>
            </w:pPr>
            <w:r>
              <w:rPr>
                <w:rFonts w:hint="eastAsia"/>
              </w:rPr>
              <w:t>旧集成服务</w:t>
            </w:r>
          </w:p>
        </w:tc>
        <w:tc>
          <w:tcPr>
            <w:tcW w:w="7796" w:type="dxa"/>
            <w:tcBorders>
              <w:top w:val="nil"/>
              <w:left w:val="nil"/>
              <w:bottom w:val="single" w:color="auto" w:sz="4" w:space="0"/>
              <w:right w:val="single" w:color="auto" w:sz="4" w:space="0"/>
            </w:tcBorders>
            <w:vAlign w:val="center"/>
          </w:tcPr>
          <w:p w14:paraId="738ABA1A">
            <w:pPr>
              <w:rPr>
                <w:rFonts w:hint="default"/>
                <w:lang w:val="en-US" w:eastAsia="zh-CN"/>
              </w:rPr>
            </w:pPr>
            <w:r>
              <w:rPr>
                <w:rFonts w:hint="eastAsia"/>
                <w:lang w:val="en-US" w:eastAsia="zh-CN"/>
              </w:rPr>
              <w:t>一、</w:t>
            </w:r>
            <w:r>
              <w:rPr>
                <w:rFonts w:hint="eastAsia"/>
              </w:rPr>
              <w:t>官塘校区两期安防监控系统</w:t>
            </w:r>
            <w:r>
              <w:rPr>
                <w:rFonts w:hint="eastAsia"/>
                <w:lang w:val="en-US" w:eastAsia="zh-CN"/>
              </w:rPr>
              <w:t>升级内容及要求</w:t>
            </w:r>
          </w:p>
          <w:p w14:paraId="06F7FD51">
            <w:pPr>
              <w:rPr>
                <w:rFonts w:hint="eastAsia"/>
              </w:rPr>
            </w:pPr>
            <w:r>
              <w:rPr>
                <w:rFonts w:hint="eastAsia"/>
                <w:lang w:val="en-US" w:eastAsia="zh-CN"/>
              </w:rPr>
              <w:t>1.</w:t>
            </w:r>
            <w:r>
              <w:rPr>
                <w:rFonts w:hint="eastAsia"/>
              </w:rPr>
              <w:t>新平台授权及配套服务</w:t>
            </w:r>
          </w:p>
          <w:p w14:paraId="60FA3209">
            <w:pPr>
              <w:rPr>
                <w:rFonts w:hint="eastAsia"/>
              </w:rPr>
            </w:pPr>
            <w:r>
              <w:rPr>
                <w:rFonts w:hint="eastAsia"/>
              </w:rPr>
              <w:t>将一期旧平台综合安防管理平台 Lite(海康威视iVMS-8700 Lite)V2.3.0版本无缝迁移至二期现有综合安防管理系统iSecure CenterV1.7.0平台环境中。</w:t>
            </w:r>
          </w:p>
          <w:p w14:paraId="62B35873">
            <w:pPr>
              <w:rPr>
                <w:rFonts w:hint="eastAsia"/>
                <w:lang w:eastAsia="zh-CN"/>
              </w:rPr>
            </w:pPr>
            <w:r>
              <w:rPr>
                <w:rFonts w:hint="eastAsia"/>
              </w:rPr>
              <w:t>综合安防管理平台 Lite(海康威视iVMS-8700 Lite)V2.3.0版本</w:t>
            </w:r>
            <w:r>
              <w:rPr>
                <w:rFonts w:hint="eastAsia"/>
                <w:lang w:val="en-US" w:eastAsia="zh-CN"/>
              </w:rPr>
              <w:t>包含</w:t>
            </w:r>
            <w:r>
              <w:rPr>
                <w:rFonts w:hint="eastAsia"/>
              </w:rPr>
              <w:t>700路视频监控授权，配套设备包括1台海康IVMS-9600E监控管理服务器</w:t>
            </w:r>
            <w:r>
              <w:rPr>
                <w:rFonts w:hint="eastAsia"/>
                <w:lang w:eastAsia="zh-CN"/>
              </w:rPr>
              <w:t>；</w:t>
            </w:r>
            <w:r>
              <w:rPr>
                <w:rFonts w:hint="eastAsia"/>
              </w:rPr>
              <w:t>1台海康DS-VM22S-B流媒体监控服务器</w:t>
            </w:r>
            <w:r>
              <w:rPr>
                <w:rFonts w:hint="eastAsia"/>
                <w:lang w:eastAsia="zh-CN"/>
              </w:rPr>
              <w:t>；</w:t>
            </w:r>
            <w:r>
              <w:rPr>
                <w:rFonts w:hint="eastAsia"/>
              </w:rPr>
              <w:t>3台监控系统存储器</w:t>
            </w:r>
            <w:r>
              <w:rPr>
                <w:rFonts w:hint="eastAsia"/>
                <w:lang w:eastAsia="zh-CN"/>
              </w:rPr>
              <w:t>，</w:t>
            </w:r>
            <w:r>
              <w:rPr>
                <w:rFonts w:hint="eastAsia"/>
                <w:lang w:val="en-US" w:eastAsia="zh-CN"/>
              </w:rPr>
              <w:t>其中</w:t>
            </w:r>
            <w:r>
              <w:rPr>
                <w:rFonts w:hint="eastAsia"/>
              </w:rPr>
              <w:t xml:space="preserve">2台型号为海康DS-A71036R/SMT,1台型号为海康DS-A71036R </w:t>
            </w:r>
            <w:r>
              <w:rPr>
                <w:rFonts w:hint="eastAsia"/>
                <w:lang w:eastAsia="zh-CN"/>
              </w:rPr>
              <w:t>；</w:t>
            </w:r>
            <w:r>
              <w:rPr>
                <w:rFonts w:hint="eastAsia"/>
              </w:rPr>
              <w:t>1</w:t>
            </w:r>
            <w:r>
              <w:rPr>
                <w:rFonts w:hint="eastAsia"/>
                <w:lang w:val="en-US" w:eastAsia="zh-CN"/>
              </w:rPr>
              <w:t>套</w:t>
            </w:r>
            <w:r>
              <w:rPr>
                <w:rFonts w:hint="eastAsia"/>
              </w:rPr>
              <w:t>海康DS-B20-SO5-A拼接屏管理平台</w:t>
            </w:r>
            <w:r>
              <w:rPr>
                <w:rFonts w:hint="eastAsia"/>
                <w:lang w:eastAsia="zh-CN"/>
              </w:rPr>
              <w:t>。</w:t>
            </w:r>
          </w:p>
          <w:p w14:paraId="787CDAB5">
            <w:pPr>
              <w:rPr>
                <w:rFonts w:hint="eastAsia"/>
                <w:lang w:val="en-US" w:eastAsia="zh-CN"/>
              </w:rPr>
            </w:pPr>
            <w:r>
              <w:rPr>
                <w:rFonts w:hint="eastAsia"/>
                <w:lang w:val="en-US" w:eastAsia="zh-CN"/>
              </w:rPr>
              <w:t>2.升级要求</w:t>
            </w:r>
          </w:p>
          <w:p w14:paraId="5FF69F91">
            <w:pPr>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实现两套系统硬件资源的统一管理与调度</w:t>
            </w:r>
            <w:r>
              <w:rPr>
                <w:rFonts w:hint="eastAsia"/>
                <w:lang w:eastAsia="zh-CN"/>
              </w:rPr>
              <w:t>；</w:t>
            </w:r>
          </w:p>
          <w:p w14:paraId="08F7B14B">
            <w:pPr>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现有综合安防管理系统iSecure CenterV1.7.0平台原有监控业务不受影响，保持独立运行逻辑</w:t>
            </w:r>
            <w:r>
              <w:rPr>
                <w:rFonts w:hint="eastAsia"/>
                <w:lang w:eastAsia="zh-CN"/>
              </w:rPr>
              <w:t>；</w:t>
            </w:r>
          </w:p>
          <w:p w14:paraId="7E64EF06">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所有产品及服务须符合国家相关标准 (GB/T28181—2022、GB 50348—2018)及原厂技术规范。</w:t>
            </w:r>
          </w:p>
          <w:p w14:paraId="36233782">
            <w:pPr>
              <w:rPr>
                <w:rFonts w:hint="eastAsia"/>
              </w:rPr>
            </w:pPr>
            <w:r>
              <w:rPr>
                <w:rFonts w:hint="eastAsia"/>
                <w:lang w:val="en-US" w:eastAsia="zh-CN"/>
              </w:rPr>
              <w:t>二</w:t>
            </w:r>
            <w:r>
              <w:rPr>
                <w:rFonts w:hint="eastAsia"/>
              </w:rPr>
              <w:t>、核心升级、技术服务及设备接入改造参数</w:t>
            </w:r>
          </w:p>
          <w:p w14:paraId="5847452F">
            <w:pPr>
              <w:rPr>
                <w:rFonts w:hint="eastAsia"/>
              </w:rPr>
            </w:pPr>
            <w:r>
              <w:rPr>
                <w:rFonts w:hint="eastAsia"/>
              </w:rPr>
              <w:t>1.授权管理服务：负责700路新授权的导入、分配及管理，确保授权在新平台中正常生效。</w:t>
            </w:r>
          </w:p>
          <w:p w14:paraId="122E2D82">
            <w:pPr>
              <w:rPr>
                <w:rFonts w:hint="eastAsia"/>
              </w:rPr>
            </w:pPr>
            <w:r>
              <w:rPr>
                <w:rFonts w:hint="eastAsia"/>
              </w:rPr>
              <w:t>2.监控点迁移及管理：仅将原iVMS-8700 Lite平台的700路摄像机迁移接入至新平台，T2教学楼监控点无需迁移。完成迁移后对监控点进行分类规划，确保远程预览、检索、回放功能正常。</w:t>
            </w:r>
          </w:p>
          <w:p w14:paraId="298ADD91">
            <w:pPr>
              <w:rPr>
                <w:rFonts w:hint="eastAsia"/>
              </w:rPr>
            </w:pPr>
            <w:r>
              <w:rPr>
                <w:rFonts w:hint="eastAsia"/>
              </w:rPr>
              <w:t>3.拼接屏管理平台对接：将原有的拼接屏管理平台(海康DS-B20-S05-A)迁移接入新平台，完成对接、画面分割、拼接漫游管理，确保视频上墙功能正常。</w:t>
            </w:r>
          </w:p>
          <w:p w14:paraId="5A8BD824">
            <w:pPr>
              <w:rPr>
                <w:rFonts w:hint="eastAsia"/>
              </w:rPr>
            </w:pPr>
            <w:r>
              <w:rPr>
                <w:rFonts w:hint="eastAsia"/>
              </w:rPr>
              <w:t>4.流媒体服务器部署及改造：</w:t>
            </w:r>
          </w:p>
          <w:p w14:paraId="74EF6D69">
            <w:pPr>
              <w:rPr>
                <w:rFonts w:hint="eastAsia"/>
                <w:lang w:eastAsia="zh-CN"/>
              </w:rPr>
            </w:pPr>
            <w:r>
              <w:rPr>
                <w:rFonts w:hint="eastAsia"/>
              </w:rPr>
              <w:t>(1)系统重装：对原有的1台流媒体监控服务器(海康DS-VM22S-B)进行系统重置。中标方需提供与原厂一致的操作系统镜像(兼容CentOS 7.6</w:t>
            </w:r>
            <w:r>
              <w:rPr>
                <w:rFonts w:hint="eastAsia"/>
                <w:highlight w:val="none"/>
                <w:lang w:eastAsia="zh-CN"/>
              </w:rPr>
              <w:t>及以上版本</w:t>
            </w:r>
            <w:r>
              <w:rPr>
                <w:rFonts w:hint="eastAsia"/>
              </w:rPr>
              <w:t>),完成底层系统安装及新平台软件(iSecure Center组件</w:t>
            </w:r>
            <w:r>
              <w:rPr>
                <w:rFonts w:hint="eastAsia"/>
                <w:lang w:eastAsia="zh-CN"/>
              </w:rPr>
              <w:t>）的部署。</w:t>
            </w:r>
          </w:p>
          <w:p w14:paraId="74E15732">
            <w:pPr>
              <w:rPr>
                <w:rFonts w:hint="eastAsia"/>
                <w:lang w:eastAsia="zh-CN"/>
              </w:rPr>
            </w:pPr>
            <w:r>
              <w:rPr>
                <w:rFonts w:hint="eastAsia"/>
                <w:lang w:eastAsia="zh-CN"/>
              </w:rPr>
              <w:t>(2)硬件检测：</w:t>
            </w:r>
            <w:r>
              <w:rPr>
                <w:rFonts w:hint="eastAsia"/>
                <w:lang w:val="en-US" w:eastAsia="zh-CN"/>
              </w:rPr>
              <w:t>报价人须</w:t>
            </w:r>
            <w:r>
              <w:rPr>
                <w:rFonts w:hint="eastAsia"/>
                <w:lang w:eastAsia="zh-CN"/>
              </w:rPr>
              <w:t>在实施前对服务器进行硬件健康检测(硬盘、内存等),确保满足新系统运行要求。</w:t>
            </w:r>
          </w:p>
          <w:p w14:paraId="2B51BD3E">
            <w:pPr>
              <w:rPr>
                <w:rFonts w:hint="eastAsia"/>
                <w:lang w:eastAsia="zh-CN"/>
              </w:rPr>
            </w:pPr>
            <w:r>
              <w:rPr>
                <w:rFonts w:hint="eastAsia"/>
                <w:lang w:eastAsia="zh-CN"/>
              </w:rPr>
              <w:t>5.监控存储器接入：</w:t>
            </w:r>
          </w:p>
          <w:p w14:paraId="45E41F95">
            <w:pPr>
              <w:rPr>
                <w:rFonts w:hint="eastAsia"/>
                <w:lang w:eastAsia="zh-CN"/>
              </w:rPr>
            </w:pPr>
            <w:r>
              <w:rPr>
                <w:rFonts w:hint="eastAsia"/>
                <w:lang w:eastAsia="zh-CN"/>
              </w:rPr>
              <w:t>将原有的3台监控系统存储器(2台DS - A71036R/SMT,1台DS-A71036R)接入新平台。</w:t>
            </w:r>
          </w:p>
          <w:p w14:paraId="69927350">
            <w:pPr>
              <w:rPr>
                <w:rFonts w:hint="eastAsia"/>
                <w:lang w:eastAsia="zh-CN"/>
              </w:rPr>
            </w:pPr>
            <w:r>
              <w:rPr>
                <w:rFonts w:hint="eastAsia"/>
                <w:lang w:eastAsia="zh-CN"/>
              </w:rPr>
              <w:t>6.平台部署调试：完成</w:t>
            </w:r>
            <w:r>
              <w:rPr>
                <w:rFonts w:hint="eastAsia"/>
                <w:lang w:val="en-US" w:eastAsia="zh-CN"/>
              </w:rPr>
              <w:t>采购人</w:t>
            </w:r>
            <w:r>
              <w:rPr>
                <w:rFonts w:hint="eastAsia"/>
                <w:lang w:eastAsia="zh-CN"/>
              </w:rPr>
              <w:t>现有iSecure Center</w:t>
            </w:r>
            <w:r>
              <w:rPr>
                <w:rFonts w:hint="eastAsia"/>
                <w:lang w:val="en-US" w:eastAsia="zh-CN"/>
              </w:rPr>
              <w:t xml:space="preserve"> </w:t>
            </w:r>
            <w:r>
              <w:rPr>
                <w:rFonts w:hint="eastAsia"/>
                <w:lang w:eastAsia="zh-CN"/>
              </w:rPr>
              <w:t>V1.7.0平台的组件升级与调试，确保与迁移后的设备无缝适配。</w:t>
            </w:r>
          </w:p>
          <w:p w14:paraId="112F892E">
            <w:pPr>
              <w:rPr>
                <w:rFonts w:hint="eastAsia"/>
                <w:lang w:eastAsia="zh-CN"/>
              </w:rPr>
            </w:pPr>
            <w:r>
              <w:rPr>
                <w:rFonts w:hint="eastAsia"/>
                <w:lang w:val="en-US" w:eastAsia="zh-CN"/>
              </w:rPr>
              <w:t>三</w:t>
            </w:r>
            <w:r>
              <w:rPr>
                <w:rFonts w:hint="eastAsia"/>
                <w:lang w:eastAsia="zh-CN"/>
              </w:rPr>
              <w:t>、安装集成及配套服务</w:t>
            </w:r>
          </w:p>
          <w:p w14:paraId="3BA01320">
            <w:pPr>
              <w:rPr>
                <w:rFonts w:hint="eastAsia"/>
                <w:lang w:eastAsia="zh-CN"/>
              </w:rPr>
            </w:pPr>
            <w:r>
              <w:rPr>
                <w:rFonts w:hint="eastAsia"/>
                <w:lang w:eastAsia="zh-CN"/>
              </w:rPr>
              <w:t>1.安装调试：包含所有相关产品的安装调试、中间件部署及新旧系统对接。</w:t>
            </w:r>
            <w:r>
              <w:rPr>
                <w:rFonts w:hint="eastAsia"/>
                <w:lang w:val="en-US" w:eastAsia="zh-CN"/>
              </w:rPr>
              <w:t>提供</w:t>
            </w:r>
            <w:r>
              <w:rPr>
                <w:rFonts w:hint="eastAsia"/>
                <w:lang w:eastAsia="zh-CN"/>
              </w:rPr>
              <w:t>并敷设项目所需HDMI高清线、网线、电源线等辅材，</w:t>
            </w:r>
            <w:r>
              <w:rPr>
                <w:rFonts w:hint="eastAsia"/>
              </w:rPr>
              <w:t>布线施工严格遵循 GB 50311-2016、GB 50312-2016 综合布线规范及机房、电气施工相关规范，敷设规范美观</w:t>
            </w:r>
            <w:r>
              <w:rPr>
                <w:rFonts w:hint="eastAsia"/>
                <w:lang w:eastAsia="zh-CN"/>
              </w:rPr>
              <w:t>；</w:t>
            </w:r>
          </w:p>
          <w:p w14:paraId="00D75181">
            <w:pPr>
              <w:rPr>
                <w:rFonts w:hint="eastAsia" w:eastAsiaTheme="minorEastAsia"/>
                <w:lang w:eastAsia="zh-CN"/>
              </w:rPr>
            </w:pPr>
            <w:r>
              <w:rPr>
                <w:rFonts w:hint="eastAsia"/>
                <w:lang w:eastAsia="zh-CN"/>
              </w:rPr>
              <w:t>2.</w:t>
            </w:r>
            <w:r>
              <w:rPr>
                <w:rFonts w:hint="eastAsia"/>
                <w:lang w:val="en-US" w:eastAsia="zh-CN"/>
              </w:rPr>
              <w:t>报价人</w:t>
            </w:r>
            <w:r>
              <w:rPr>
                <w:rFonts w:hint="default"/>
              </w:rPr>
              <w:t>出具能够提供项目原厂设备兼容的集成服务</w:t>
            </w:r>
            <w:r>
              <w:rPr>
                <w:rFonts w:hint="eastAsia"/>
                <w:lang w:eastAsia="zh-CN"/>
              </w:rPr>
              <w:t>的</w:t>
            </w:r>
            <w:r>
              <w:rPr>
                <w:rFonts w:hint="default"/>
              </w:rPr>
              <w:t>服务承诺函</w:t>
            </w:r>
            <w:r>
              <w:rPr>
                <w:rFonts w:hint="eastAsia"/>
                <w:lang w:eastAsia="zh-CN"/>
              </w:rPr>
              <w:t>；</w:t>
            </w:r>
          </w:p>
          <w:p w14:paraId="0C8A7C7D">
            <w:pPr>
              <w:rPr>
                <w:rFonts w:hint="eastAsia"/>
                <w:lang w:eastAsia="zh-CN"/>
              </w:rPr>
            </w:pPr>
            <w:r>
              <w:rPr>
                <w:rFonts w:hint="eastAsia"/>
                <w:lang w:val="en-US" w:eastAsia="zh-CN"/>
              </w:rPr>
              <w:t>3.</w:t>
            </w:r>
            <w:r>
              <w:rPr>
                <w:rFonts w:hint="eastAsia"/>
                <w:lang w:eastAsia="zh-CN"/>
              </w:rPr>
              <w:t>升级过程中需制定</w:t>
            </w:r>
            <w:r>
              <w:rPr>
                <w:rFonts w:hint="eastAsia"/>
                <w:highlight w:val="none"/>
                <w:lang w:eastAsia="zh-CN"/>
              </w:rPr>
              <w:t>应急预案，</w:t>
            </w:r>
            <w:r>
              <w:rPr>
                <w:rFonts w:hint="eastAsia"/>
                <w:lang w:eastAsia="zh-CN"/>
              </w:rPr>
              <w:t>避免因施工导致T2教学楼监控系统中断；</w:t>
            </w:r>
          </w:p>
          <w:p w14:paraId="3CFBD450">
            <w:pPr>
              <w:rPr>
                <w:rFonts w:hint="eastAsia"/>
                <w:lang w:eastAsia="zh-CN"/>
              </w:rPr>
            </w:pPr>
            <w:r>
              <w:rPr>
                <w:rFonts w:hint="eastAsia"/>
                <w:lang w:val="en-US" w:eastAsia="zh-CN"/>
              </w:rPr>
              <w:t>4</w:t>
            </w:r>
            <w:r>
              <w:rPr>
                <w:rFonts w:hint="eastAsia"/>
                <w:lang w:eastAsia="zh-CN"/>
              </w:rPr>
              <w:t>.项目升级改造竣工验收合格后，</w:t>
            </w:r>
            <w:r>
              <w:rPr>
                <w:rFonts w:hint="eastAsia"/>
                <w:lang w:val="en-US" w:eastAsia="zh-CN"/>
              </w:rPr>
              <w:t>报价人</w:t>
            </w:r>
            <w:r>
              <w:rPr>
                <w:rFonts w:hint="eastAsia"/>
                <w:lang w:eastAsia="zh-CN"/>
              </w:rPr>
              <w:t>须开展 1 次专项培训，培训内容包含系统操作、设备日常维护及常见故障排查。</w:t>
            </w:r>
            <w:r>
              <w:rPr>
                <w:rFonts w:hint="eastAsia"/>
                <w:lang w:val="en-US" w:eastAsia="zh-CN"/>
              </w:rPr>
              <w:t>报价</w:t>
            </w:r>
            <w:r>
              <w:rPr>
                <w:rFonts w:hint="eastAsia"/>
                <w:lang w:eastAsia="zh-CN"/>
              </w:rPr>
              <w:t>人须向采购人移交全套电子版竣工资料，含设备数量清单、系统版本、IP地址配置、系统访问网址、摄像头点位信息等运维台账资料，</w:t>
            </w:r>
            <w:r>
              <w:rPr>
                <w:rFonts w:hint="eastAsia"/>
                <w:lang w:val="en-US" w:eastAsia="zh-CN"/>
              </w:rPr>
              <w:t>材料</w:t>
            </w:r>
            <w:r>
              <w:rPr>
                <w:rFonts w:hint="eastAsia"/>
                <w:lang w:eastAsia="zh-CN"/>
              </w:rPr>
              <w:t>一式两份用U盘或移动硬盘拷贝后交付，U盘或移动硬盘（必须是带原厂正规包装且原厂质保期不低于三年，接口为USB3.0及以上），否则不予接收；</w:t>
            </w:r>
          </w:p>
          <w:p w14:paraId="4DBB6A18">
            <w:pPr>
              <w:rPr>
                <w:rFonts w:hint="eastAsia"/>
                <w:lang w:eastAsia="zh-CN"/>
              </w:rPr>
            </w:pPr>
            <w:r>
              <w:rPr>
                <w:rFonts w:hint="eastAsia"/>
                <w:lang w:val="en-US" w:eastAsia="zh-CN"/>
              </w:rPr>
              <w:t>5</w:t>
            </w:r>
            <w:r>
              <w:rPr>
                <w:rFonts w:hint="eastAsia"/>
                <w:lang w:eastAsia="zh-CN"/>
              </w:rPr>
              <w:t>.后期技术支持：</w:t>
            </w:r>
            <w:r>
              <w:rPr>
                <w:rFonts w:hint="eastAsia"/>
                <w:lang w:val="en-US" w:eastAsia="zh-CN"/>
              </w:rPr>
              <w:t>报价</w:t>
            </w:r>
            <w:r>
              <w:rPr>
                <w:rFonts w:hint="eastAsia"/>
                <w:lang w:eastAsia="zh-CN"/>
              </w:rPr>
              <w:t>人须在质保期内为本项目提供免费技术咨询、系统操作及日常运维指导服务，建立规范的服务响应机制，通过电话、远程等方式及时处置系统运行故障，保障系统安全稳定运行。</w:t>
            </w:r>
          </w:p>
          <w:p w14:paraId="7667CE5B">
            <w:pPr>
              <w:rPr>
                <w:rFonts w:hint="eastAsia"/>
                <w:lang w:eastAsia="zh-CN"/>
              </w:rPr>
            </w:pPr>
          </w:p>
        </w:tc>
        <w:tc>
          <w:tcPr>
            <w:tcW w:w="525" w:type="dxa"/>
            <w:tcBorders>
              <w:top w:val="nil"/>
              <w:left w:val="nil"/>
              <w:bottom w:val="single" w:color="auto" w:sz="4" w:space="0"/>
              <w:right w:val="single" w:color="auto" w:sz="4" w:space="0"/>
            </w:tcBorders>
            <w:shd w:val="clear" w:color="auto" w:fill="auto"/>
            <w:vAlign w:val="top"/>
          </w:tcPr>
          <w:p w14:paraId="22E82D5D">
            <w:pPr>
              <w:rPr>
                <w:rFonts w:hint="eastAsia"/>
                <w:lang w:val="en-US" w:eastAsia="zh-CN"/>
              </w:rPr>
            </w:pPr>
            <w:r>
              <w:rPr>
                <w:rFonts w:hint="eastAsia"/>
                <w:lang w:val="en-US" w:eastAsia="zh-CN"/>
              </w:rPr>
              <w:t>项</w:t>
            </w:r>
          </w:p>
        </w:tc>
        <w:tc>
          <w:tcPr>
            <w:tcW w:w="488" w:type="dxa"/>
            <w:tcBorders>
              <w:top w:val="nil"/>
              <w:left w:val="single" w:color="auto" w:sz="4" w:space="0"/>
              <w:bottom w:val="single" w:color="auto" w:sz="4" w:space="0"/>
              <w:right w:val="single" w:color="auto" w:sz="4" w:space="0"/>
            </w:tcBorders>
            <w:vAlign w:val="top"/>
          </w:tcPr>
          <w:p w14:paraId="235B6AAD">
            <w:pPr>
              <w:rPr>
                <w:rFonts w:hint="eastAsia"/>
                <w:lang w:val="en-US" w:eastAsia="zh-CN"/>
              </w:rPr>
            </w:pPr>
            <w:r>
              <w:rPr>
                <w:rFonts w:hint="eastAsia"/>
                <w:lang w:val="en-US" w:eastAsia="zh-CN"/>
              </w:rPr>
              <w:t>1</w:t>
            </w:r>
          </w:p>
        </w:tc>
      </w:tr>
      <w:tr w14:paraId="3FA2D985">
        <w:tblPrEx>
          <w:tblCellMar>
            <w:top w:w="0" w:type="dxa"/>
            <w:left w:w="108" w:type="dxa"/>
            <w:bottom w:w="0" w:type="dxa"/>
            <w:right w:w="108" w:type="dxa"/>
          </w:tblCellMar>
        </w:tblPrEx>
        <w:trPr>
          <w:trHeight w:val="972" w:hRule="atLeast"/>
        </w:trPr>
        <w:tc>
          <w:tcPr>
            <w:tcW w:w="489" w:type="dxa"/>
            <w:tcBorders>
              <w:top w:val="nil"/>
              <w:left w:val="single" w:color="auto" w:sz="4" w:space="0"/>
              <w:bottom w:val="single" w:color="auto" w:sz="4" w:space="0"/>
              <w:right w:val="single" w:color="auto" w:sz="4" w:space="0"/>
            </w:tcBorders>
            <w:vAlign w:val="top"/>
          </w:tcPr>
          <w:p w14:paraId="21899D2E">
            <w:pPr>
              <w:rPr>
                <w:rFonts w:hint="eastAsia"/>
                <w:lang w:eastAsia="zh-CN"/>
              </w:rPr>
            </w:pPr>
            <w:r>
              <w:rPr>
                <w:rFonts w:hint="eastAsia"/>
                <w:lang w:val="en-US" w:eastAsia="zh-CN"/>
              </w:rPr>
              <w:t>2</w:t>
            </w:r>
          </w:p>
        </w:tc>
        <w:tc>
          <w:tcPr>
            <w:tcW w:w="600" w:type="dxa"/>
            <w:tcBorders>
              <w:top w:val="nil"/>
              <w:left w:val="nil"/>
              <w:bottom w:val="single" w:color="auto" w:sz="4" w:space="0"/>
              <w:right w:val="single" w:color="auto" w:sz="4" w:space="0"/>
            </w:tcBorders>
            <w:vAlign w:val="top"/>
          </w:tcPr>
          <w:p w14:paraId="2B270490">
            <w:pPr>
              <w:rPr>
                <w:rFonts w:hint="eastAsia"/>
                <w:lang w:eastAsia="zh-CN"/>
              </w:rPr>
            </w:pPr>
            <w:r>
              <w:rPr>
                <w:rFonts w:hint="eastAsia"/>
                <w:lang w:eastAsia="zh-CN"/>
              </w:rPr>
              <w:t>硬盘</w:t>
            </w:r>
          </w:p>
        </w:tc>
        <w:tc>
          <w:tcPr>
            <w:tcW w:w="7796" w:type="dxa"/>
            <w:tcBorders>
              <w:top w:val="nil"/>
              <w:left w:val="nil"/>
              <w:bottom w:val="single" w:color="auto" w:sz="4" w:space="0"/>
              <w:right w:val="single" w:color="auto" w:sz="4" w:space="0"/>
            </w:tcBorders>
            <w:vAlign w:val="center"/>
          </w:tcPr>
          <w:p w14:paraId="4DC36A42">
            <w:pPr>
              <w:rPr>
                <w:rFonts w:hint="eastAsia"/>
                <w:lang w:eastAsia="zh-CN"/>
              </w:rPr>
            </w:pPr>
            <w:r>
              <w:rPr>
                <w:rFonts w:hint="eastAsia"/>
                <w:lang w:eastAsia="zh-CN"/>
              </w:rPr>
              <w:t>1.容量与规格：4TB容量，3.5英寸，SATA3.0接口，转速5400RPM(或同级性能)。</w:t>
            </w:r>
          </w:p>
          <w:p w14:paraId="7B3839E1">
            <w:pPr>
              <w:rPr>
                <w:rFonts w:hint="eastAsia"/>
                <w:lang w:eastAsia="zh-CN"/>
              </w:rPr>
            </w:pPr>
            <w:r>
              <w:rPr>
                <w:rFonts w:hint="eastAsia"/>
                <w:lang w:eastAsia="zh-CN"/>
              </w:rPr>
              <w:t>2.采用CMR磁记录技术，满足数据严苛的7*24小时运行可靠性、安全性的需要。</w:t>
            </w:r>
          </w:p>
          <w:p w14:paraId="2D83473E">
            <w:pPr>
              <w:rPr>
                <w:rFonts w:hint="eastAsia"/>
                <w:lang w:eastAsia="zh-CN"/>
              </w:rPr>
            </w:pPr>
            <w:r>
              <w:rPr>
                <w:rFonts w:hint="eastAsia"/>
                <w:lang w:eastAsia="zh-CN"/>
              </w:rPr>
              <w:t>3.采用高级格式(AF)512e扇区技术，保障硬盘扇区4K对齐。</w:t>
            </w:r>
          </w:p>
          <w:p w14:paraId="39F333A9">
            <w:pPr>
              <w:rPr>
                <w:rFonts w:hint="eastAsia"/>
              </w:rPr>
            </w:pPr>
            <w:r>
              <w:rPr>
                <w:rFonts w:hint="eastAsia"/>
                <w:lang w:eastAsia="zh-CN"/>
              </w:rPr>
              <w:t>4.传输速率180MB/s,流畅存储，视频有效防止丢帧。</w:t>
            </w:r>
          </w:p>
        </w:tc>
        <w:tc>
          <w:tcPr>
            <w:tcW w:w="525" w:type="dxa"/>
            <w:tcBorders>
              <w:top w:val="nil"/>
              <w:left w:val="nil"/>
              <w:bottom w:val="single" w:color="auto" w:sz="4" w:space="0"/>
              <w:right w:val="single" w:color="auto" w:sz="4" w:space="0"/>
            </w:tcBorders>
            <w:shd w:val="clear" w:color="auto" w:fill="auto"/>
            <w:vAlign w:val="top"/>
          </w:tcPr>
          <w:p w14:paraId="2ABFD45E">
            <w:pPr>
              <w:rPr>
                <w:rFonts w:hint="eastAsia"/>
                <w:lang w:val="en-US" w:eastAsia="zh-CN"/>
              </w:rPr>
            </w:pPr>
            <w:r>
              <w:rPr>
                <w:rFonts w:hint="eastAsia"/>
                <w:lang w:val="en-US" w:eastAsia="zh-CN"/>
              </w:rPr>
              <w:t>块</w:t>
            </w:r>
          </w:p>
        </w:tc>
        <w:tc>
          <w:tcPr>
            <w:tcW w:w="488" w:type="dxa"/>
            <w:tcBorders>
              <w:top w:val="nil"/>
              <w:left w:val="single" w:color="auto" w:sz="4" w:space="0"/>
              <w:bottom w:val="single" w:color="auto" w:sz="4" w:space="0"/>
              <w:right w:val="single" w:color="auto" w:sz="4" w:space="0"/>
            </w:tcBorders>
            <w:vAlign w:val="top"/>
          </w:tcPr>
          <w:p w14:paraId="4D4AB117">
            <w:pPr>
              <w:rPr>
                <w:rFonts w:hint="eastAsia"/>
                <w:lang w:val="en-US" w:eastAsia="zh-CN"/>
              </w:rPr>
            </w:pPr>
            <w:r>
              <w:rPr>
                <w:rFonts w:hint="eastAsia"/>
                <w:lang w:val="en-US" w:eastAsia="zh-CN"/>
              </w:rPr>
              <w:t>6</w:t>
            </w:r>
          </w:p>
        </w:tc>
      </w:tr>
      <w:tr w14:paraId="2CE923FA">
        <w:tblPrEx>
          <w:tblCellMar>
            <w:top w:w="0" w:type="dxa"/>
            <w:left w:w="108" w:type="dxa"/>
            <w:bottom w:w="0" w:type="dxa"/>
            <w:right w:w="108" w:type="dxa"/>
          </w:tblCellMar>
        </w:tblPrEx>
        <w:trPr>
          <w:trHeight w:val="780" w:hRule="atLeast"/>
        </w:trPr>
        <w:tc>
          <w:tcPr>
            <w:tcW w:w="1089" w:type="dxa"/>
            <w:gridSpan w:val="2"/>
            <w:tcBorders>
              <w:top w:val="single" w:color="auto" w:sz="4" w:space="0"/>
              <w:left w:val="single" w:color="auto" w:sz="4" w:space="0"/>
              <w:bottom w:val="single" w:color="auto" w:sz="4" w:space="0"/>
              <w:right w:val="single" w:color="auto" w:sz="4" w:space="0"/>
            </w:tcBorders>
          </w:tcPr>
          <w:p w14:paraId="65789491">
            <w:pPr>
              <w:rPr>
                <w:rFonts w:hint="eastAsia"/>
              </w:rPr>
            </w:pPr>
            <w:r>
              <w:rPr>
                <w:rFonts w:hint="eastAsia"/>
              </w:rPr>
              <w:t>商务要求</w:t>
            </w:r>
          </w:p>
        </w:tc>
        <w:tc>
          <w:tcPr>
            <w:tcW w:w="8809" w:type="dxa"/>
            <w:gridSpan w:val="3"/>
            <w:tcBorders>
              <w:top w:val="single" w:color="auto" w:sz="4" w:space="0"/>
              <w:left w:val="nil"/>
              <w:bottom w:val="single" w:color="auto" w:sz="4" w:space="0"/>
              <w:right w:val="single" w:color="auto" w:sz="4" w:space="0"/>
            </w:tcBorders>
            <w:vAlign w:val="center"/>
          </w:tcPr>
          <w:p w14:paraId="52CEBA40">
            <w:pPr>
              <w:rPr>
                <w:rFonts w:hint="eastAsia"/>
                <w:lang w:val="en-US" w:eastAsia="zh-CN"/>
              </w:rPr>
            </w:pPr>
            <w:r>
              <w:rPr>
                <w:rFonts w:hint="eastAsia"/>
                <w:lang w:val="en-US" w:eastAsia="zh-CN"/>
              </w:rPr>
              <w:t>1.交付时间：自合同签订之日起</w:t>
            </w:r>
            <w:r>
              <w:rPr>
                <w:rFonts w:hint="eastAsia"/>
                <w:b/>
                <w:bCs/>
                <w:u w:val="single"/>
                <w:lang w:val="en-US" w:eastAsia="zh-CN"/>
              </w:rPr>
              <w:t xml:space="preserve"> 30 日内</w:t>
            </w:r>
            <w:r>
              <w:rPr>
                <w:rFonts w:hint="eastAsia"/>
                <w:lang w:eastAsia="zh-CN"/>
              </w:rPr>
              <w:t>完成所有设备改造、接入</w:t>
            </w:r>
            <w:r>
              <w:rPr>
                <w:rFonts w:hint="eastAsia"/>
                <w:lang w:val="en-US" w:eastAsia="zh-CN"/>
              </w:rPr>
              <w:t>并交付使用。</w:t>
            </w:r>
          </w:p>
          <w:p w14:paraId="1A9BCFB4">
            <w:pPr>
              <w:rPr>
                <w:rFonts w:hint="eastAsia"/>
              </w:rPr>
            </w:pPr>
            <w:r>
              <w:rPr>
                <w:rFonts w:hint="eastAsia"/>
                <w:lang w:val="en-US" w:eastAsia="zh-CN"/>
              </w:rPr>
              <w:t>质保期：自验收合格并交付使用之日起</w:t>
            </w:r>
            <w:r>
              <w:rPr>
                <w:rFonts w:hint="eastAsia"/>
              </w:rPr>
              <w:t>安防监控系统平台迁移及利旧集成服务</w:t>
            </w:r>
            <w:r>
              <w:rPr>
                <w:rFonts w:hint="eastAsia"/>
                <w:b/>
                <w:bCs/>
                <w:u w:val="single"/>
                <w:lang w:val="en-US" w:eastAsia="zh-CN"/>
              </w:rPr>
              <w:t xml:space="preserve"> 1 年</w:t>
            </w:r>
            <w:r>
              <w:rPr>
                <w:rFonts w:hint="eastAsia"/>
                <w:lang w:val="en-US" w:eastAsia="zh-CN"/>
              </w:rPr>
              <w:t>、硬盘</w:t>
            </w:r>
            <w:r>
              <w:rPr>
                <w:rFonts w:hint="eastAsia"/>
                <w:b/>
                <w:bCs/>
                <w:u w:val="single"/>
                <w:lang w:val="en-US" w:eastAsia="zh-CN"/>
              </w:rPr>
              <w:t xml:space="preserve"> 3年</w:t>
            </w:r>
            <w:r>
              <w:rPr>
                <w:rFonts w:hint="eastAsia"/>
                <w:lang w:val="en-US" w:eastAsia="zh-CN"/>
              </w:rPr>
              <w:t>。</w:t>
            </w:r>
          </w:p>
          <w:p w14:paraId="3EF726CB">
            <w:pPr>
              <w:rPr>
                <w:rFonts w:hint="eastAsia"/>
                <w:lang w:val="en-US" w:eastAsia="zh-CN"/>
              </w:rPr>
            </w:pPr>
            <w:r>
              <w:rPr>
                <w:rFonts w:hint="eastAsia"/>
              </w:rPr>
              <w:t>2.技术支持和服务</w:t>
            </w:r>
            <w:r>
              <w:rPr>
                <w:rFonts w:hint="eastAsia"/>
                <w:lang w:val="en-US" w:eastAsia="zh-CN"/>
              </w:rPr>
              <w:t>要求</w:t>
            </w:r>
          </w:p>
          <w:p w14:paraId="06FBDB3E">
            <w:pPr>
              <w:rPr>
                <w:rFonts w:hint="eastAsia"/>
              </w:rPr>
            </w:pPr>
            <w:r>
              <w:rPr>
                <w:rFonts w:hint="eastAsia"/>
                <w:lang w:val="en-US" w:eastAsia="zh-CN"/>
              </w:rPr>
              <w:t>（1）本</w:t>
            </w:r>
            <w:r>
              <w:rPr>
                <w:rFonts w:hint="eastAsia"/>
              </w:rPr>
              <w:t>项目所提供的全部货物（含硬件、软件及服务）必须完全满足</w:t>
            </w:r>
            <w:r>
              <w:rPr>
                <w:rFonts w:hint="eastAsia"/>
                <w:lang w:val="en-US" w:eastAsia="zh-CN"/>
              </w:rPr>
              <w:t>报价</w:t>
            </w:r>
            <w:r>
              <w:rPr>
                <w:rFonts w:hint="eastAsia"/>
              </w:rPr>
              <w:t>文件所述要求，如中标</w:t>
            </w:r>
            <w:r>
              <w:rPr>
                <w:rFonts w:hint="eastAsia"/>
                <w:lang w:eastAsia="zh-CN"/>
              </w:rPr>
              <w:t>报价人</w:t>
            </w:r>
            <w:r>
              <w:rPr>
                <w:rFonts w:hint="eastAsia"/>
              </w:rPr>
              <w:t>在</w:t>
            </w:r>
            <w:r>
              <w:rPr>
                <w:rFonts w:hint="eastAsia"/>
                <w:lang w:eastAsia="zh-CN"/>
              </w:rPr>
              <w:t>报价</w:t>
            </w:r>
            <w:r>
              <w:rPr>
                <w:rFonts w:hint="eastAsia"/>
              </w:rPr>
              <w:t>文件中有承诺正偏离的应按其正偏离内容执行。</w:t>
            </w:r>
          </w:p>
          <w:p w14:paraId="13EB96C7">
            <w:pPr>
              <w:rPr>
                <w:rFonts w:hint="eastAsia"/>
              </w:rPr>
            </w:pPr>
            <w:r>
              <w:rPr>
                <w:rFonts w:hint="eastAsia"/>
                <w:lang w:val="en-US" w:eastAsia="zh-CN"/>
              </w:rPr>
              <w:t>（2）本</w:t>
            </w:r>
            <w:r>
              <w:rPr>
                <w:rFonts w:hint="eastAsia"/>
              </w:rPr>
              <w:t>项目所提供的全部货物</w:t>
            </w:r>
            <w:r>
              <w:rPr>
                <w:rFonts w:hint="eastAsia"/>
                <w:lang w:val="en-US" w:eastAsia="zh-CN"/>
              </w:rPr>
              <w:t>必须是全新完好的、符合国家及行业相关标准、可追溯并享受原厂售后服务的正规合格产品</w:t>
            </w:r>
            <w:r>
              <w:rPr>
                <w:rFonts w:hint="eastAsia"/>
              </w:rPr>
              <w:t>。若产品在运输过程中损坏须无偿调换同样产品，以达到供货要求。国家有关规定报价人承诺实行“三包”（包退、包换、包修）服务，其他售后服务按成交人提交的售后服务承诺书执行。中标</w:t>
            </w:r>
            <w:r>
              <w:rPr>
                <w:rFonts w:hint="eastAsia"/>
                <w:lang w:eastAsia="zh-CN"/>
              </w:rPr>
              <w:t>报价人</w:t>
            </w:r>
            <w:r>
              <w:rPr>
                <w:rFonts w:hint="eastAsia"/>
              </w:rPr>
              <w:t>售后服务中维护使用的备品备件及易损件须为原厂全新配件，未经采购人同意不得使用非原厂配件。且进行维护的人员须为中标</w:t>
            </w:r>
            <w:r>
              <w:rPr>
                <w:rFonts w:hint="eastAsia"/>
                <w:lang w:eastAsia="zh-CN"/>
              </w:rPr>
              <w:t>报价人</w:t>
            </w:r>
            <w:r>
              <w:rPr>
                <w:rFonts w:hint="eastAsia"/>
              </w:rPr>
              <w:t>认可的有资质专业技术人员。</w:t>
            </w:r>
          </w:p>
          <w:p w14:paraId="2E2783FA">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对于</w:t>
            </w:r>
            <w:r>
              <w:rPr>
                <w:rFonts w:hint="eastAsia"/>
                <w:lang w:val="en-US" w:eastAsia="zh-CN"/>
              </w:rPr>
              <w:t>采购文件中定制货物，报价人必须在报价文件中列出所投货物重要组件的品牌型号；</w:t>
            </w:r>
            <w:r>
              <w:rPr>
                <w:rFonts w:hint="eastAsia"/>
              </w:rPr>
              <w:t>在送达采购人指定地点时已完成组装的定制货物，由于其组装状态，难以对货物的重要组件进行核实，</w:t>
            </w:r>
            <w:r>
              <w:rPr>
                <w:rFonts w:hint="eastAsia"/>
                <w:lang w:eastAsia="zh-CN"/>
              </w:rPr>
              <w:t>报价人</w:t>
            </w:r>
            <w:r>
              <w:rPr>
                <w:rFonts w:hint="eastAsia"/>
                <w:lang w:val="en-US" w:eastAsia="zh-CN"/>
              </w:rPr>
              <w:t>必须</w:t>
            </w:r>
            <w:r>
              <w:rPr>
                <w:rFonts w:hint="eastAsia"/>
              </w:rPr>
              <w:t>在上述货物生产组装前十个工作日书面告知采购人，采购人可根据项目实际情况，到生产厂家进行预验收，以便确认所供货物是否按合同约定采用相应的组件</w:t>
            </w:r>
            <w:r>
              <w:rPr>
                <w:rFonts w:hint="eastAsia"/>
                <w:lang w:eastAsia="zh-CN"/>
              </w:rPr>
              <w:t>、</w:t>
            </w:r>
            <w:r>
              <w:rPr>
                <w:rFonts w:hint="eastAsia"/>
                <w:lang w:val="en-US" w:eastAsia="zh-CN"/>
              </w:rPr>
              <w:t>生产工艺及</w:t>
            </w:r>
            <w:r>
              <w:rPr>
                <w:rFonts w:hint="eastAsia"/>
              </w:rPr>
              <w:t>参数是否达到合同约定，费用含在</w:t>
            </w:r>
            <w:r>
              <w:rPr>
                <w:rFonts w:hint="eastAsia"/>
                <w:lang w:eastAsia="zh-CN"/>
              </w:rPr>
              <w:t>报价</w:t>
            </w:r>
            <w:r>
              <w:rPr>
                <w:rFonts w:hint="eastAsia"/>
              </w:rPr>
              <w:t>报价中。</w:t>
            </w:r>
          </w:p>
          <w:p w14:paraId="32BF65ED">
            <w:pPr>
              <w:rPr>
                <w:rFonts w:hint="eastAsia"/>
                <w:lang w:val="en-US" w:eastAsia="zh-CN"/>
              </w:rPr>
            </w:pPr>
            <w:r>
              <w:rPr>
                <w:rFonts w:hint="eastAsia"/>
                <w:lang w:eastAsia="zh-CN"/>
              </w:rPr>
              <w:t>（</w:t>
            </w:r>
            <w:r>
              <w:rPr>
                <w:rFonts w:hint="eastAsia"/>
                <w:lang w:val="en-US" w:eastAsia="zh-CN"/>
              </w:rPr>
              <w:t>4</w:t>
            </w:r>
            <w:r>
              <w:rPr>
                <w:rFonts w:hint="eastAsia"/>
                <w:lang w:eastAsia="zh-CN"/>
              </w:rPr>
              <w:t>）</w:t>
            </w:r>
            <w:r>
              <w:rPr>
                <w:rFonts w:hint="eastAsia"/>
              </w:rPr>
              <w:t>本项目所含软件（如有）必须为符合采购人适用范围的正版软件（非试用版），</w:t>
            </w:r>
            <w:r>
              <w:rPr>
                <w:rFonts w:hint="eastAsia"/>
                <w:lang w:eastAsia="zh-CN"/>
              </w:rPr>
              <w:t>且</w:t>
            </w:r>
            <w:r>
              <w:rPr>
                <w:rFonts w:hint="eastAsia"/>
                <w:lang w:val="en-US" w:eastAsia="zh-CN"/>
              </w:rPr>
              <w:t>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093DFE2F">
            <w:pPr>
              <w:rPr>
                <w:rFonts w:hint="eastAsia"/>
              </w:rPr>
            </w:pPr>
            <w:r>
              <w:rPr>
                <w:rFonts w:hint="eastAsia"/>
                <w:lang w:val="en-US" w:eastAsia="zh-CN"/>
              </w:rPr>
              <w:t>6、</w:t>
            </w:r>
            <w:r>
              <w:rPr>
                <w:rFonts w:hint="eastAsia"/>
              </w:rPr>
              <w:t>本项目</w:t>
            </w:r>
            <w:r>
              <w:rPr>
                <w:rFonts w:hint="eastAsia"/>
                <w:lang w:val="en-US" w:eastAsia="zh-CN"/>
              </w:rPr>
              <w:t>如有</w:t>
            </w:r>
            <w:r>
              <w:rPr>
                <w:rFonts w:hint="eastAsia"/>
              </w:rPr>
              <w:t>软件（</w:t>
            </w:r>
            <w:r>
              <w:rPr>
                <w:rFonts w:hint="eastAsia"/>
                <w:lang w:val="en-US" w:eastAsia="zh-CN"/>
              </w:rPr>
              <w:t>不包括随机出厂预装</w:t>
            </w:r>
            <w:r>
              <w:rPr>
                <w:rFonts w:hint="eastAsia"/>
              </w:rPr>
              <w:t>）</w:t>
            </w:r>
            <w:r>
              <w:rPr>
                <w:rFonts w:hint="eastAsia"/>
                <w:lang w:val="en-US" w:eastAsia="zh-CN"/>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hint="eastAsia"/>
              </w:rPr>
              <w:t>在本项目合同约定的质保期过后，</w:t>
            </w:r>
            <w:r>
              <w:rPr>
                <w:rFonts w:hint="eastAsia"/>
                <w:lang w:val="en-US" w:eastAsia="zh-CN"/>
              </w:rPr>
              <w:t>中标</w:t>
            </w:r>
            <w:r>
              <w:rPr>
                <w:rFonts w:hint="eastAsia"/>
                <w:lang w:eastAsia="zh-CN"/>
              </w:rPr>
              <w:t>报价人</w:t>
            </w:r>
            <w:r>
              <w:rPr>
                <w:rFonts w:hint="eastAsia"/>
              </w:rPr>
              <w:t>需确保该软件其功能仍与交付验收时一致不受限制</w:t>
            </w:r>
            <w:r>
              <w:rPr>
                <w:rFonts w:hint="eastAsia"/>
                <w:lang w:val="en-US" w:eastAsia="zh-CN"/>
              </w:rPr>
              <w:t>或减少</w:t>
            </w:r>
            <w:r>
              <w:rPr>
                <w:rFonts w:hint="eastAsia"/>
              </w:rPr>
              <w:t>（如合同另有约定的按合同约定），质保期过后如需对软件进行升级或售后服务双方再行协商。</w:t>
            </w:r>
          </w:p>
          <w:p w14:paraId="583CB988">
            <w:pPr>
              <w:rPr>
                <w:rFonts w:hint="eastAsia"/>
                <w:lang w:val="en-US" w:eastAsia="zh-CN"/>
              </w:rPr>
            </w:pPr>
            <w:r>
              <w:rPr>
                <w:rFonts w:hint="eastAsia"/>
                <w:lang w:val="en-US" w:eastAsia="zh-CN"/>
              </w:rPr>
              <w:t>3</w:t>
            </w:r>
            <w:r>
              <w:rPr>
                <w:rFonts w:hint="eastAsia"/>
              </w:rPr>
              <w:t>.</w:t>
            </w:r>
            <w:r>
              <w:rPr>
                <w:rFonts w:hint="eastAsia"/>
                <w:lang w:val="en-US" w:eastAsia="zh-CN"/>
              </w:rPr>
              <w:t>知识产权</w:t>
            </w:r>
          </w:p>
          <w:p w14:paraId="4372A81F">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1DDFAC93">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报价人因未经授权而实施的商业性复制行为构成违约或侵权责任造成采购人损失的，由其承但相关责任并赔偿采购人经济损失。</w:t>
            </w:r>
          </w:p>
          <w:p w14:paraId="5C7B3E89">
            <w:pPr>
              <w:rPr>
                <w:rFonts w:hint="eastAsia"/>
              </w:rPr>
            </w:pPr>
            <w:r>
              <w:rPr>
                <w:rFonts w:hint="eastAsia"/>
                <w:lang w:eastAsia="zh-CN"/>
              </w:rPr>
              <w:t>（</w:t>
            </w:r>
            <w:r>
              <w:rPr>
                <w:rFonts w:hint="eastAsia"/>
                <w:lang w:val="en-US" w:eastAsia="zh-CN"/>
              </w:rPr>
              <w:t>3</w:t>
            </w:r>
            <w:r>
              <w:rPr>
                <w:rFonts w:hint="eastAsia"/>
                <w:lang w:eastAsia="zh-CN"/>
              </w:rPr>
              <w:t>）</w:t>
            </w:r>
            <w:r>
              <w:rPr>
                <w:rFonts w:hint="eastAsia"/>
              </w:rPr>
              <w:t>中标</w:t>
            </w:r>
            <w:r>
              <w:rPr>
                <w:rFonts w:hint="eastAsia"/>
                <w:lang w:eastAsia="zh-CN"/>
              </w:rPr>
              <w:t>报价人</w:t>
            </w:r>
            <w:r>
              <w:rPr>
                <w:rFonts w:hint="eastAsia"/>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lang w:eastAsia="zh-CN"/>
              </w:rPr>
              <w:t>报价</w:t>
            </w:r>
            <w:r>
              <w:rPr>
                <w:rFonts w:hint="eastAsia"/>
              </w:rPr>
              <w:t>人承担。</w:t>
            </w:r>
          </w:p>
          <w:p w14:paraId="307556FE">
            <w:pPr>
              <w:rPr>
                <w:rFonts w:hint="eastAsia"/>
                <w:lang w:val="en-US" w:eastAsia="zh-CN"/>
              </w:rPr>
            </w:pPr>
            <w:r>
              <w:rPr>
                <w:rFonts w:hint="eastAsia"/>
                <w:lang w:val="en-US" w:eastAsia="zh-CN"/>
              </w:rPr>
              <w:t>4.</w:t>
            </w:r>
            <w:r>
              <w:rPr>
                <w:rFonts w:hint="eastAsia"/>
              </w:rPr>
              <w:t>付款</w:t>
            </w:r>
            <w:r>
              <w:rPr>
                <w:rFonts w:hint="eastAsia"/>
                <w:lang w:val="en-US" w:eastAsia="zh-CN"/>
              </w:rPr>
              <w:t>要求</w:t>
            </w:r>
          </w:p>
          <w:p w14:paraId="5744B91E">
            <w:pPr>
              <w:rPr>
                <w:rFonts w:hint="eastAsia"/>
              </w:rPr>
            </w:pPr>
            <w:r>
              <w:rPr>
                <w:rFonts w:hint="eastAsia"/>
              </w:rPr>
              <w:t xml:space="preserve">本项目无预付款，合同中所有货物全部安装调试完毕验收合格交付给采购人使用后，被选中的报价人开具全额增值税专用发票给采购人，采购人收到发票后 </w:t>
            </w:r>
            <w:r>
              <w:rPr>
                <w:rFonts w:hint="eastAsia"/>
                <w:lang w:val="en-US" w:eastAsia="zh-CN"/>
              </w:rPr>
              <w:t>20</w:t>
            </w:r>
            <w:r>
              <w:rPr>
                <w:rFonts w:hint="eastAsia"/>
              </w:rPr>
              <w:t xml:space="preserve"> 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037B83F">
            <w:pPr>
              <w:rPr>
                <w:rFonts w:hint="eastAsia"/>
                <w:lang w:val="en-US" w:eastAsia="zh-CN"/>
              </w:rPr>
            </w:pPr>
            <w:r>
              <w:rPr>
                <w:rFonts w:hint="eastAsia"/>
                <w:lang w:val="en-US" w:eastAsia="zh-CN"/>
              </w:rPr>
              <w:t>5.验收要求</w:t>
            </w:r>
          </w:p>
          <w:p w14:paraId="5CB4ACEA">
            <w:pPr>
              <w:rPr>
                <w:rFonts w:hint="eastAsia"/>
                <w:lang w:val="en-US" w:eastAsia="zh-CN"/>
              </w:rPr>
            </w:pPr>
            <w:r>
              <w:rPr>
                <w:rFonts w:hint="eastAsia"/>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5D86EA97">
            <w:pPr>
              <w:rPr>
                <w:rFonts w:hint="eastAsia"/>
                <w:lang w:val="en-US" w:eastAsia="zh-CN"/>
              </w:rPr>
            </w:pPr>
            <w:r>
              <w:rPr>
                <w:rFonts w:hint="eastAsia"/>
                <w:lang w:val="en-US" w:eastAsia="zh-CN"/>
              </w:rPr>
              <w:t>（2）中标报价人须确保货物为原制造商制造（或原厂组装）的全新产品，，无侵权行为、表面无划损、无任何缺陷隐患，在中国境内可依常规安全合法使用。</w:t>
            </w:r>
          </w:p>
          <w:p w14:paraId="3D63E967">
            <w:pPr>
              <w:rPr>
                <w:rFonts w:hint="eastAsia"/>
                <w:lang w:val="en-US" w:eastAsia="zh-CN"/>
              </w:rPr>
            </w:pPr>
            <w:r>
              <w:rPr>
                <w:rFonts w:hint="eastAsia"/>
                <w:lang w:val="en-US" w:eastAsia="zh-CN"/>
              </w:rPr>
              <w:t>（3）供货时中标报价人应将关键货物的用户手册、保修手册、有关单证资料及配备件等交付给采购人，使用操作及安全须知等重要资料应附有中文说明。</w:t>
            </w:r>
          </w:p>
          <w:p w14:paraId="0E8DF4C3">
            <w:pPr>
              <w:rPr>
                <w:rFonts w:hint="eastAsia"/>
                <w:lang w:val="en-US" w:eastAsia="zh-CN"/>
              </w:rPr>
            </w:pPr>
            <w:r>
              <w:rPr>
                <w:rFonts w:hint="eastAsia"/>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4065149C">
            <w:pPr>
              <w:rPr>
                <w:rFonts w:hint="eastAsia"/>
                <w:lang w:val="en-US" w:eastAsia="zh-CN"/>
              </w:rPr>
            </w:pPr>
            <w:r>
              <w:rPr>
                <w:rFonts w:hint="eastAsia"/>
                <w:lang w:val="en-US" w:eastAsia="zh-CN"/>
              </w:rPr>
              <w:t>（5）中标报价人必须依照采购文件的要求和应标文件的承诺，将设备、系统安装并调试至正常运行的最佳状态，并完成采购人的人员培训方可申请采购人正式验收。</w:t>
            </w:r>
          </w:p>
          <w:p w14:paraId="19B299DB">
            <w:pPr>
              <w:rPr>
                <w:rFonts w:hint="eastAsia"/>
                <w:lang w:val="en-US" w:eastAsia="zh-CN"/>
              </w:rPr>
            </w:pPr>
            <w:r>
              <w:rPr>
                <w:rFonts w:hint="eastAsia"/>
                <w:lang w:val="en-US" w:eastAsia="zh-CN"/>
              </w:rPr>
              <w:t>（6）采购人有权委托第三方进行履约验收，履约验收费用（含运行耗材、验收专家费等全部费用）由中标报价人支付。报价人在报价时自行考虑。</w:t>
            </w:r>
          </w:p>
          <w:p w14:paraId="0F5323DF">
            <w:pPr>
              <w:rPr>
                <w:rFonts w:hint="eastAsia"/>
                <w:lang w:val="en-US" w:eastAsia="zh-CN"/>
              </w:rPr>
            </w:pPr>
            <w:r>
              <w:rPr>
                <w:rFonts w:hint="eastAsia"/>
                <w:lang w:val="en-US" w:eastAsia="zh-CN"/>
              </w:rPr>
              <w:t>（7）中标报价人</w:t>
            </w:r>
            <w:r>
              <w:rPr>
                <w:rFonts w:hint="eastAsia"/>
              </w:rPr>
              <w:t>完成安装调试后，采购人可以进行累计运行时间不超过72小时的试运行，以确认所供货物（含硬件、软件及服务）功能参数、兼容性及稳定性符合标准达到初验条件，在试运行期间出现问题</w:t>
            </w:r>
            <w:r>
              <w:rPr>
                <w:rFonts w:hint="eastAsia"/>
                <w:lang w:val="en-US" w:eastAsia="zh-CN"/>
              </w:rPr>
              <w:t>中标报价人</w:t>
            </w:r>
            <w:r>
              <w:rPr>
                <w:rFonts w:hint="eastAsia"/>
              </w:rPr>
              <w:t>应在接到采购人书面反馈后三日内解决，在解决问题前此项目仍视为尚未完成安装调试。如造成最终验收合格交付时间超过合同约定的按合同相关条款执行。</w:t>
            </w:r>
          </w:p>
          <w:p w14:paraId="68F5CA86">
            <w:pPr>
              <w:rPr>
                <w:rFonts w:hint="eastAsia"/>
                <w:lang w:val="en-US" w:eastAsia="zh-CN"/>
              </w:rPr>
            </w:pPr>
            <w:r>
              <w:rPr>
                <w:rFonts w:hint="eastAsia"/>
                <w:lang w:val="en-US" w:eastAsia="zh-CN"/>
              </w:rPr>
              <w:t>如果验收时中标报价人所提供设备达不到采购项目的技术需求，在整改期限20日内中标报价人仍无法提供满足项目技术要求的设备，采购人可以终止项目，中标报价人须承担相应违约责任。</w:t>
            </w:r>
          </w:p>
        </w:tc>
      </w:tr>
    </w:tbl>
    <w:p w14:paraId="6D85F1A5">
      <w:pPr>
        <w:spacing w:line="276" w:lineRule="auto"/>
        <w:jc w:val="left"/>
        <w:rPr>
          <w:rFonts w:ascii="Arial" w:hAnsi="Arial" w:cs="Arial"/>
          <w:sz w:val="24"/>
          <w:szCs w:val="24"/>
        </w:rPr>
      </w:pPr>
    </w:p>
    <w:p w14:paraId="1D9DD96B">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5"/>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须包含货物及货物运抵指定交货地点的运输、装卸费用、系统集成、施工、调试售后服务、验收检验</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税费及其它所有费用的总和。报价超出采购预算金额的文件将被视为无效。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r>
        <w:rPr>
          <w:rFonts w:hint="eastAsia" w:asciiTheme="majorEastAsia" w:hAnsiTheme="majorEastAsia" w:eastAsiaTheme="majorEastAsia" w:cstheme="majorEastAsia"/>
          <w:kern w:val="0"/>
          <w:sz w:val="24"/>
          <w:szCs w:val="24"/>
          <w:lang w:val="en-US" w:eastAsia="zh-CN"/>
        </w:rPr>
        <w:t xml:space="preserve"> </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10</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FF808C9">
      <w:pPr>
        <w:widowControl/>
        <w:numPr>
          <w:ilvl w:val="0"/>
          <w:numId w:val="4"/>
        </w:numPr>
        <w:adjustRightInd w:val="0"/>
        <w:snapToGrid w:val="0"/>
        <w:spacing w:line="520" w:lineRule="exact"/>
        <w:jc w:val="left"/>
        <w:rPr>
          <w:rFonts w:hint="eastAsia" w:asciiTheme="majorEastAsia" w:hAnsiTheme="majorEastAsia" w:eastAsiaTheme="majorEastAsia" w:cstheme="majorEastAsia"/>
          <w:bCs/>
          <w:kern w:val="0"/>
          <w:sz w:val="24"/>
          <w:szCs w:val="28"/>
          <w:lang w:val="en-US" w:eastAsia="zh-CN" w:bidi="en-US"/>
        </w:rPr>
      </w:pP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宾老师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 xml:space="preserve">13768868992  </w:t>
      </w:r>
    </w:p>
    <w:p w14:paraId="4966A16F">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390BF1D">
      <w:pPr>
        <w:pStyle w:val="5"/>
        <w:spacing w:line="360" w:lineRule="auto"/>
        <w:rPr>
          <w:rFonts w:ascii="Arial" w:hAnsi="Arial" w:eastAsia="宋体" w:cs="Arial"/>
          <w:kern w:val="0"/>
          <w:sz w:val="24"/>
          <w:szCs w:val="28"/>
        </w:rPr>
      </w:pPr>
    </w:p>
    <w:p w14:paraId="20AED0AB">
      <w:pPr>
        <w:pStyle w:val="5"/>
        <w:spacing w:line="360" w:lineRule="auto"/>
      </w:pPr>
    </w:p>
    <w:p w14:paraId="2BC59F5D">
      <w:pPr>
        <w:pStyle w:val="5"/>
        <w:jc w:val="center"/>
        <w:rPr>
          <w:b/>
          <w:sz w:val="44"/>
          <w:szCs w:val="36"/>
        </w:rPr>
      </w:pPr>
    </w:p>
    <w:p w14:paraId="20196F7B">
      <w:pPr>
        <w:pStyle w:val="5"/>
        <w:jc w:val="center"/>
        <w:rPr>
          <w:b/>
          <w:sz w:val="44"/>
          <w:szCs w:val="36"/>
        </w:rPr>
      </w:pPr>
    </w:p>
    <w:p w14:paraId="7C62470F">
      <w:pPr>
        <w:pStyle w:val="5"/>
        <w:jc w:val="center"/>
        <w:rPr>
          <w:b/>
          <w:sz w:val="44"/>
          <w:szCs w:val="36"/>
        </w:rPr>
      </w:pPr>
    </w:p>
    <w:p w14:paraId="019F4D01">
      <w:pPr>
        <w:pStyle w:val="5"/>
        <w:jc w:val="center"/>
        <w:rPr>
          <w:b/>
          <w:sz w:val="44"/>
          <w:szCs w:val="36"/>
        </w:rPr>
      </w:pPr>
    </w:p>
    <w:p w14:paraId="15B6EEFF">
      <w:pPr>
        <w:pStyle w:val="5"/>
        <w:jc w:val="center"/>
        <w:rPr>
          <w:b/>
          <w:sz w:val="44"/>
          <w:szCs w:val="36"/>
        </w:rPr>
      </w:pPr>
    </w:p>
    <w:p w14:paraId="170864EA">
      <w:pPr>
        <w:pStyle w:val="5"/>
        <w:jc w:val="center"/>
        <w:rPr>
          <w:b/>
          <w:sz w:val="44"/>
          <w:szCs w:val="36"/>
        </w:rPr>
      </w:pPr>
    </w:p>
    <w:p w14:paraId="2D234E3F">
      <w:pPr>
        <w:pStyle w:val="5"/>
        <w:jc w:val="center"/>
        <w:rPr>
          <w:b/>
          <w:sz w:val="44"/>
          <w:szCs w:val="36"/>
        </w:rPr>
      </w:pPr>
    </w:p>
    <w:p w14:paraId="2115B774">
      <w:pPr>
        <w:pStyle w:val="5"/>
        <w:jc w:val="center"/>
        <w:rPr>
          <w:b/>
          <w:sz w:val="44"/>
          <w:szCs w:val="36"/>
        </w:rPr>
      </w:pPr>
    </w:p>
    <w:p w14:paraId="18BD39BD">
      <w:pPr>
        <w:pStyle w:val="5"/>
        <w:jc w:val="center"/>
        <w:rPr>
          <w:b/>
          <w:sz w:val="44"/>
          <w:szCs w:val="36"/>
        </w:rPr>
      </w:pPr>
    </w:p>
    <w:p w14:paraId="6BE1A28E">
      <w:pPr>
        <w:pStyle w:val="5"/>
        <w:jc w:val="center"/>
        <w:rPr>
          <w:b/>
          <w:sz w:val="44"/>
          <w:szCs w:val="36"/>
        </w:rPr>
      </w:pPr>
      <w:bookmarkStart w:id="55" w:name="_GoBack"/>
      <w:bookmarkEnd w:id="55"/>
    </w:p>
    <w:p w14:paraId="2B2FC21D">
      <w:pPr>
        <w:pStyle w:val="5"/>
        <w:jc w:val="center"/>
        <w:rPr>
          <w:b/>
          <w:sz w:val="44"/>
          <w:szCs w:val="36"/>
        </w:rPr>
      </w:pPr>
    </w:p>
    <w:p w14:paraId="776272BE">
      <w:pPr>
        <w:pStyle w:val="5"/>
        <w:jc w:val="center"/>
        <w:rPr>
          <w:b/>
          <w:sz w:val="48"/>
          <w:szCs w:val="40"/>
        </w:rPr>
      </w:pPr>
      <w:r>
        <w:rPr>
          <w:rFonts w:hint="eastAsia"/>
          <w:b/>
          <w:sz w:val="48"/>
          <w:szCs w:val="40"/>
        </w:rPr>
        <w:t>报价文件格式</w:t>
      </w:r>
    </w:p>
    <w:p w14:paraId="666830FA">
      <w:pPr>
        <w:pStyle w:val="5"/>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55BF794">
      <w:pPr>
        <w:pStyle w:val="5"/>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5"/>
        <w:jc w:val="center"/>
        <w:rPr>
          <w:b/>
          <w:sz w:val="44"/>
          <w:szCs w:val="36"/>
        </w:rPr>
      </w:pPr>
    </w:p>
    <w:p w14:paraId="5050054A">
      <w:pPr>
        <w:pStyle w:val="5"/>
        <w:jc w:val="center"/>
        <w:rPr>
          <w:b/>
          <w:sz w:val="44"/>
          <w:szCs w:val="36"/>
        </w:rPr>
      </w:pPr>
    </w:p>
    <w:p w14:paraId="7D8AE5B0">
      <w:pPr>
        <w:pStyle w:val="5"/>
        <w:jc w:val="center"/>
        <w:rPr>
          <w:b/>
          <w:sz w:val="44"/>
          <w:szCs w:val="36"/>
        </w:rPr>
      </w:pPr>
    </w:p>
    <w:p w14:paraId="1CDA4CB5">
      <w:pPr>
        <w:pStyle w:val="5"/>
        <w:jc w:val="center"/>
        <w:rPr>
          <w:b/>
          <w:sz w:val="44"/>
          <w:szCs w:val="36"/>
        </w:rPr>
      </w:pPr>
    </w:p>
    <w:p w14:paraId="65B627EF">
      <w:pPr>
        <w:pStyle w:val="5"/>
        <w:jc w:val="center"/>
        <w:rPr>
          <w:b/>
          <w:sz w:val="44"/>
          <w:szCs w:val="36"/>
        </w:rPr>
      </w:pPr>
    </w:p>
    <w:p w14:paraId="7A11EE56">
      <w:pPr>
        <w:pStyle w:val="5"/>
        <w:numPr>
          <w:ilvl w:val="0"/>
          <w:numId w:val="5"/>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5"/>
        <w:numPr>
          <w:ilvl w:val="0"/>
          <w:numId w:val="0"/>
        </w:numPr>
        <w:jc w:val="left"/>
        <w:rPr>
          <w:rFonts w:hint="eastAsia"/>
          <w:b/>
          <w:sz w:val="36"/>
          <w:szCs w:val="36"/>
        </w:rPr>
      </w:pPr>
    </w:p>
    <w:p w14:paraId="470AC734">
      <w:pPr>
        <w:pStyle w:val="5"/>
        <w:numPr>
          <w:ilvl w:val="0"/>
          <w:numId w:val="0"/>
        </w:numPr>
        <w:jc w:val="left"/>
        <w:rPr>
          <w:rFonts w:hint="eastAsia"/>
          <w:b/>
          <w:sz w:val="36"/>
          <w:szCs w:val="36"/>
        </w:rPr>
      </w:pPr>
    </w:p>
    <w:p w14:paraId="23E8BFE9">
      <w:pPr>
        <w:pStyle w:val="5"/>
        <w:numPr>
          <w:ilvl w:val="0"/>
          <w:numId w:val="0"/>
        </w:numPr>
        <w:jc w:val="left"/>
        <w:rPr>
          <w:rFonts w:hint="eastAsia"/>
          <w:b/>
          <w:sz w:val="36"/>
          <w:szCs w:val="36"/>
        </w:rPr>
      </w:pPr>
    </w:p>
    <w:p w14:paraId="1A62783F">
      <w:pPr>
        <w:pStyle w:val="5"/>
        <w:numPr>
          <w:ilvl w:val="0"/>
          <w:numId w:val="0"/>
        </w:numPr>
        <w:jc w:val="left"/>
        <w:rPr>
          <w:rFonts w:hint="eastAsia"/>
          <w:b/>
          <w:sz w:val="36"/>
          <w:szCs w:val="36"/>
        </w:rPr>
      </w:pPr>
    </w:p>
    <w:p w14:paraId="37870246">
      <w:pPr>
        <w:pStyle w:val="5"/>
        <w:numPr>
          <w:ilvl w:val="0"/>
          <w:numId w:val="0"/>
        </w:numPr>
        <w:jc w:val="left"/>
        <w:rPr>
          <w:rFonts w:hint="eastAsia"/>
          <w:b/>
          <w:sz w:val="36"/>
          <w:szCs w:val="36"/>
        </w:rPr>
      </w:pPr>
    </w:p>
    <w:p w14:paraId="03D6C588">
      <w:pPr>
        <w:pStyle w:val="5"/>
        <w:numPr>
          <w:ilvl w:val="0"/>
          <w:numId w:val="0"/>
        </w:numPr>
        <w:jc w:val="left"/>
        <w:rPr>
          <w:rFonts w:hint="eastAsia"/>
          <w:b/>
          <w:sz w:val="36"/>
          <w:szCs w:val="36"/>
        </w:rPr>
      </w:pPr>
    </w:p>
    <w:p w14:paraId="1E983098">
      <w:pPr>
        <w:pStyle w:val="5"/>
        <w:numPr>
          <w:ilvl w:val="0"/>
          <w:numId w:val="0"/>
        </w:numPr>
        <w:jc w:val="left"/>
        <w:rPr>
          <w:rFonts w:hint="eastAsia"/>
          <w:b/>
          <w:sz w:val="36"/>
          <w:szCs w:val="36"/>
        </w:rPr>
      </w:pPr>
    </w:p>
    <w:p w14:paraId="573B5DE7">
      <w:pPr>
        <w:pStyle w:val="36"/>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5"/>
        <w:rPr>
          <w:sz w:val="24"/>
          <w:szCs w:val="24"/>
        </w:rPr>
      </w:pPr>
    </w:p>
    <w:p w14:paraId="104E28E9">
      <w:pPr>
        <w:pStyle w:val="5"/>
        <w:rPr>
          <w:sz w:val="24"/>
          <w:szCs w:val="24"/>
        </w:rPr>
      </w:pPr>
    </w:p>
    <w:p w14:paraId="6DFC3D17">
      <w:pPr>
        <w:pStyle w:val="5"/>
        <w:rPr>
          <w:sz w:val="24"/>
          <w:szCs w:val="24"/>
        </w:rPr>
      </w:pPr>
    </w:p>
    <w:p w14:paraId="6C6BA235">
      <w:pPr>
        <w:pStyle w:val="5"/>
        <w:rPr>
          <w:sz w:val="24"/>
          <w:szCs w:val="24"/>
        </w:rPr>
      </w:pPr>
    </w:p>
    <w:p w14:paraId="5CD97640">
      <w:pPr>
        <w:pStyle w:val="5"/>
        <w:rPr>
          <w:sz w:val="24"/>
          <w:szCs w:val="24"/>
        </w:rPr>
      </w:pPr>
    </w:p>
    <w:p w14:paraId="06143FD8">
      <w:pPr>
        <w:pStyle w:val="5"/>
        <w:rPr>
          <w:sz w:val="24"/>
          <w:szCs w:val="24"/>
        </w:rPr>
      </w:pPr>
    </w:p>
    <w:p w14:paraId="4D0B5893">
      <w:pPr>
        <w:pStyle w:val="5"/>
        <w:rPr>
          <w:sz w:val="24"/>
          <w:szCs w:val="24"/>
        </w:rPr>
      </w:pPr>
    </w:p>
    <w:p w14:paraId="1771D750">
      <w:pPr>
        <w:pStyle w:val="5"/>
        <w:rPr>
          <w:sz w:val="24"/>
          <w:szCs w:val="24"/>
        </w:rPr>
      </w:pPr>
    </w:p>
    <w:p w14:paraId="194A9E8B">
      <w:pPr>
        <w:pStyle w:val="5"/>
        <w:rPr>
          <w:sz w:val="24"/>
          <w:szCs w:val="24"/>
        </w:rPr>
      </w:pPr>
    </w:p>
    <w:p w14:paraId="7C13A348">
      <w:pPr>
        <w:pStyle w:val="5"/>
        <w:rPr>
          <w:sz w:val="24"/>
          <w:szCs w:val="24"/>
        </w:rPr>
      </w:pPr>
    </w:p>
    <w:p w14:paraId="234CF384">
      <w:pPr>
        <w:pStyle w:val="5"/>
        <w:rPr>
          <w:sz w:val="24"/>
          <w:szCs w:val="24"/>
        </w:rPr>
      </w:pPr>
    </w:p>
    <w:p w14:paraId="5925F701">
      <w:pPr>
        <w:pStyle w:val="5"/>
        <w:rPr>
          <w:sz w:val="24"/>
          <w:szCs w:val="24"/>
        </w:rPr>
      </w:pPr>
    </w:p>
    <w:p w14:paraId="552CFC52">
      <w:pPr>
        <w:pStyle w:val="5"/>
        <w:rPr>
          <w:sz w:val="24"/>
          <w:szCs w:val="24"/>
        </w:rPr>
      </w:pPr>
    </w:p>
    <w:p w14:paraId="6BEF4C5C">
      <w:pPr>
        <w:pStyle w:val="5"/>
        <w:rPr>
          <w:sz w:val="24"/>
          <w:szCs w:val="24"/>
        </w:rPr>
      </w:pPr>
    </w:p>
    <w:p w14:paraId="67DA8AC9">
      <w:pPr>
        <w:pStyle w:val="5"/>
        <w:rPr>
          <w:sz w:val="24"/>
          <w:szCs w:val="24"/>
        </w:rPr>
      </w:pPr>
    </w:p>
    <w:p w14:paraId="5A4810C3">
      <w:pPr>
        <w:pStyle w:val="5"/>
        <w:rPr>
          <w:sz w:val="24"/>
          <w:szCs w:val="24"/>
        </w:rPr>
      </w:pPr>
    </w:p>
    <w:p w14:paraId="12D0D3DC">
      <w:pPr>
        <w:pStyle w:val="5"/>
        <w:rPr>
          <w:sz w:val="24"/>
          <w:szCs w:val="24"/>
        </w:rPr>
      </w:pPr>
    </w:p>
    <w:p w14:paraId="7AC96D58">
      <w:pPr>
        <w:pStyle w:val="5"/>
        <w:rPr>
          <w:sz w:val="24"/>
          <w:szCs w:val="24"/>
        </w:rPr>
      </w:pPr>
    </w:p>
    <w:p w14:paraId="438803F8">
      <w:pPr>
        <w:pStyle w:val="5"/>
        <w:rPr>
          <w:sz w:val="24"/>
          <w:szCs w:val="24"/>
        </w:rPr>
      </w:pPr>
    </w:p>
    <w:p w14:paraId="38EFBF24">
      <w:pPr>
        <w:pStyle w:val="5"/>
        <w:rPr>
          <w:sz w:val="24"/>
          <w:szCs w:val="24"/>
        </w:rPr>
      </w:pPr>
    </w:p>
    <w:p w14:paraId="5E18787D">
      <w:pPr>
        <w:pStyle w:val="5"/>
        <w:rPr>
          <w:sz w:val="24"/>
          <w:szCs w:val="24"/>
        </w:rPr>
      </w:pPr>
    </w:p>
    <w:p w14:paraId="50F62FAD">
      <w:pPr>
        <w:pStyle w:val="5"/>
        <w:rPr>
          <w:sz w:val="24"/>
          <w:szCs w:val="24"/>
        </w:rPr>
      </w:pPr>
    </w:p>
    <w:p w14:paraId="7C0A8F47">
      <w:pPr>
        <w:pStyle w:val="5"/>
        <w:rPr>
          <w:sz w:val="24"/>
          <w:szCs w:val="24"/>
        </w:rPr>
      </w:pPr>
    </w:p>
    <w:p w14:paraId="5DBAFC46">
      <w:pPr>
        <w:pStyle w:val="5"/>
        <w:rPr>
          <w:sz w:val="24"/>
          <w:szCs w:val="24"/>
        </w:rPr>
      </w:pPr>
    </w:p>
    <w:p w14:paraId="4AD066AC">
      <w:pPr>
        <w:pStyle w:val="5"/>
        <w:rPr>
          <w:sz w:val="24"/>
          <w:szCs w:val="24"/>
        </w:rPr>
      </w:pPr>
    </w:p>
    <w:p w14:paraId="30C0275E">
      <w:pPr>
        <w:pStyle w:val="5"/>
        <w:rPr>
          <w:sz w:val="24"/>
          <w:szCs w:val="24"/>
        </w:rPr>
      </w:pPr>
    </w:p>
    <w:p w14:paraId="1C14FF84">
      <w:pPr>
        <w:pStyle w:val="5"/>
        <w:rPr>
          <w:sz w:val="24"/>
          <w:szCs w:val="24"/>
        </w:rPr>
      </w:pPr>
    </w:p>
    <w:p w14:paraId="1F6862F8">
      <w:pPr>
        <w:pStyle w:val="5"/>
        <w:rPr>
          <w:sz w:val="24"/>
          <w:szCs w:val="24"/>
        </w:rPr>
      </w:pPr>
    </w:p>
    <w:p w14:paraId="3A8300A8">
      <w:pPr>
        <w:pStyle w:val="5"/>
        <w:rPr>
          <w:sz w:val="24"/>
          <w:szCs w:val="24"/>
        </w:rPr>
      </w:pPr>
    </w:p>
    <w:p w14:paraId="1E57EC9F">
      <w:pPr>
        <w:pStyle w:val="5"/>
        <w:rPr>
          <w:sz w:val="24"/>
          <w:szCs w:val="24"/>
        </w:rPr>
      </w:pPr>
    </w:p>
    <w:p w14:paraId="523C7935">
      <w:pPr>
        <w:pStyle w:val="5"/>
        <w:rPr>
          <w:sz w:val="24"/>
          <w:szCs w:val="24"/>
        </w:rPr>
      </w:pPr>
    </w:p>
    <w:p w14:paraId="20805CD2">
      <w:pPr>
        <w:pStyle w:val="5"/>
        <w:rPr>
          <w:sz w:val="24"/>
          <w:szCs w:val="24"/>
        </w:rPr>
      </w:pPr>
    </w:p>
    <w:p w14:paraId="77464BFD">
      <w:pPr>
        <w:pStyle w:val="5"/>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6"/>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6"/>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6"/>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73BA123">
      <w:pPr>
        <w:jc w:val="left"/>
        <w:outlineLvl w:val="1"/>
        <w:rPr>
          <w:rFonts w:hint="eastAsia" w:ascii="仿宋" w:hAnsi="仿宋" w:eastAsia="仿宋" w:cs="Times New Roman"/>
          <w:b/>
          <w:sz w:val="32"/>
          <w:szCs w:val="32"/>
          <w:lang w:val="en-US" w:eastAsia="zh-CN"/>
        </w:rPr>
      </w:pPr>
    </w:p>
    <w:p w14:paraId="3322ABB7">
      <w:pPr>
        <w:jc w:val="left"/>
        <w:outlineLvl w:val="1"/>
        <w:rPr>
          <w:rFonts w:hint="eastAsia" w:ascii="仿宋" w:hAnsi="仿宋" w:eastAsia="仿宋" w:cs="Times New Roman"/>
          <w:b/>
          <w:sz w:val="32"/>
          <w:szCs w:val="32"/>
          <w:lang w:val="en-US" w:eastAsia="zh-CN"/>
        </w:rPr>
      </w:pPr>
    </w:p>
    <w:p w14:paraId="63FB9269">
      <w:pPr>
        <w:jc w:val="left"/>
        <w:outlineLvl w:val="1"/>
        <w:rPr>
          <w:rFonts w:hint="eastAsia" w:ascii="仿宋" w:hAnsi="仿宋" w:eastAsia="仿宋" w:cs="Times New Roman"/>
          <w:b/>
          <w:sz w:val="32"/>
          <w:szCs w:val="32"/>
          <w:lang w:val="en-US" w:eastAsia="zh-CN"/>
        </w:rPr>
      </w:pPr>
    </w:p>
    <w:p w14:paraId="236BF199">
      <w:pPr>
        <w:jc w:val="left"/>
        <w:outlineLvl w:val="1"/>
        <w:rPr>
          <w:rFonts w:hint="eastAsia" w:ascii="仿宋" w:hAnsi="仿宋" w:eastAsia="仿宋" w:cs="Times New Roman"/>
          <w:b/>
          <w:sz w:val="32"/>
          <w:szCs w:val="32"/>
          <w:lang w:val="en-US" w:eastAsia="zh-CN"/>
        </w:rPr>
      </w:pPr>
    </w:p>
    <w:p w14:paraId="3A7B59DA">
      <w:pPr>
        <w:jc w:val="left"/>
        <w:outlineLvl w:val="1"/>
        <w:rPr>
          <w:rFonts w:hint="eastAsia" w:ascii="仿宋" w:hAnsi="仿宋" w:eastAsia="仿宋" w:cs="Times New Roman"/>
          <w:b/>
          <w:sz w:val="32"/>
          <w:szCs w:val="32"/>
          <w:lang w:val="en-US" w:eastAsia="zh-CN"/>
        </w:rPr>
      </w:pPr>
    </w:p>
    <w:p w14:paraId="590D798B">
      <w:pPr>
        <w:jc w:val="left"/>
        <w:outlineLvl w:val="1"/>
        <w:rPr>
          <w:rFonts w:hint="eastAsia" w:ascii="仿宋" w:hAnsi="仿宋" w:eastAsia="仿宋" w:cs="Times New Roman"/>
          <w:b/>
          <w:sz w:val="32"/>
          <w:szCs w:val="32"/>
          <w:lang w:val="en-US" w:eastAsia="zh-CN"/>
        </w:rPr>
      </w:pPr>
    </w:p>
    <w:p w14:paraId="3A9F55F3">
      <w:pPr>
        <w:jc w:val="left"/>
        <w:outlineLvl w:val="1"/>
        <w:rPr>
          <w:rFonts w:hint="eastAsia" w:ascii="仿宋" w:hAnsi="仿宋" w:eastAsia="仿宋" w:cs="Times New Roman"/>
          <w:b/>
          <w:sz w:val="32"/>
          <w:szCs w:val="32"/>
          <w:lang w:val="en-US" w:eastAsia="zh-CN"/>
        </w:rPr>
      </w:pPr>
    </w:p>
    <w:p w14:paraId="74D0EF09">
      <w:pPr>
        <w:jc w:val="left"/>
        <w:outlineLvl w:val="1"/>
        <w:rPr>
          <w:rFonts w:hint="eastAsia" w:ascii="仿宋" w:hAnsi="仿宋" w:eastAsia="仿宋" w:cs="Times New Roman"/>
          <w:b/>
          <w:sz w:val="32"/>
          <w:szCs w:val="32"/>
          <w:lang w:val="en-US" w:eastAsia="zh-CN"/>
        </w:rPr>
      </w:pPr>
    </w:p>
    <w:p w14:paraId="49974CBD">
      <w:pPr>
        <w:jc w:val="left"/>
        <w:outlineLvl w:val="1"/>
        <w:rPr>
          <w:rFonts w:hint="eastAsia" w:ascii="仿宋" w:hAnsi="仿宋" w:eastAsia="仿宋" w:cs="Times New Roman"/>
          <w:b/>
          <w:sz w:val="32"/>
          <w:szCs w:val="32"/>
          <w:lang w:val="en-US" w:eastAsia="zh-CN"/>
        </w:rPr>
      </w:pPr>
    </w:p>
    <w:p w14:paraId="26572837">
      <w:pPr>
        <w:jc w:val="left"/>
        <w:outlineLvl w:val="1"/>
        <w:rPr>
          <w:rFonts w:hint="eastAsia" w:ascii="仿宋" w:hAnsi="仿宋" w:eastAsia="仿宋" w:cs="Times New Roman"/>
          <w:b/>
          <w:sz w:val="32"/>
          <w:szCs w:val="32"/>
          <w:lang w:val="en-US" w:eastAsia="zh-CN"/>
        </w:rPr>
      </w:pPr>
    </w:p>
    <w:p w14:paraId="41370661">
      <w:pPr>
        <w:jc w:val="left"/>
        <w:outlineLvl w:val="1"/>
        <w:rPr>
          <w:rFonts w:hint="eastAsia" w:ascii="仿宋" w:hAnsi="仿宋" w:eastAsia="仿宋" w:cs="Times New Roman"/>
          <w:b/>
          <w:sz w:val="32"/>
          <w:szCs w:val="32"/>
          <w:lang w:val="en-US" w:eastAsia="zh-CN"/>
        </w:rPr>
      </w:pPr>
    </w:p>
    <w:p w14:paraId="317B0B1E">
      <w:pPr>
        <w:jc w:val="left"/>
        <w:outlineLvl w:val="1"/>
        <w:rPr>
          <w:rFonts w:hint="eastAsia" w:ascii="仿宋" w:hAnsi="仿宋" w:eastAsia="仿宋" w:cs="Times New Roman"/>
          <w:b/>
          <w:sz w:val="32"/>
          <w:szCs w:val="32"/>
          <w:lang w:val="en-US" w:eastAsia="zh-CN"/>
        </w:rPr>
      </w:pPr>
    </w:p>
    <w:p w14:paraId="0376FFD1">
      <w:pPr>
        <w:jc w:val="left"/>
        <w:outlineLvl w:val="1"/>
        <w:rPr>
          <w:rFonts w:hint="eastAsia" w:ascii="仿宋" w:hAnsi="仿宋" w:eastAsia="仿宋" w:cs="Times New Roman"/>
          <w:b/>
          <w:sz w:val="32"/>
          <w:szCs w:val="32"/>
          <w:lang w:val="en-US" w:eastAsia="zh-CN"/>
        </w:rPr>
      </w:pPr>
    </w:p>
    <w:p w14:paraId="346CD94F">
      <w:pPr>
        <w:jc w:val="left"/>
        <w:outlineLvl w:val="1"/>
        <w:rPr>
          <w:rFonts w:hint="eastAsia" w:ascii="仿宋" w:hAnsi="仿宋" w:eastAsia="仿宋" w:cs="Times New Roman"/>
          <w:b/>
          <w:sz w:val="32"/>
          <w:szCs w:val="32"/>
          <w:lang w:val="en-US" w:eastAsia="zh-CN"/>
        </w:rPr>
      </w:pPr>
    </w:p>
    <w:p w14:paraId="6D428E05">
      <w:pPr>
        <w:jc w:val="left"/>
        <w:outlineLvl w:val="1"/>
        <w:rPr>
          <w:rFonts w:hint="eastAsia" w:ascii="仿宋" w:hAnsi="仿宋" w:eastAsia="仿宋" w:cs="Times New Roman"/>
          <w:b/>
          <w:sz w:val="32"/>
          <w:szCs w:val="32"/>
          <w:lang w:val="en-US" w:eastAsia="zh-CN"/>
        </w:rPr>
      </w:pPr>
    </w:p>
    <w:p w14:paraId="5E65F737">
      <w:pPr>
        <w:jc w:val="left"/>
        <w:outlineLvl w:val="1"/>
        <w:rPr>
          <w:rFonts w:hint="eastAsia" w:ascii="仿宋" w:hAnsi="仿宋" w:eastAsia="仿宋" w:cs="Times New Roman"/>
          <w:b/>
          <w:sz w:val="32"/>
          <w:szCs w:val="32"/>
          <w:lang w:val="en-US" w:eastAsia="zh-CN"/>
        </w:rPr>
      </w:pPr>
    </w:p>
    <w:p w14:paraId="68DC4863">
      <w:pPr>
        <w:jc w:val="left"/>
        <w:outlineLvl w:val="1"/>
        <w:rPr>
          <w:rFonts w:hint="eastAsia" w:ascii="仿宋" w:hAnsi="仿宋" w:eastAsia="仿宋" w:cs="Times New Roman"/>
          <w:b/>
          <w:sz w:val="32"/>
          <w:szCs w:val="32"/>
          <w:lang w:val="en-US" w:eastAsia="zh-CN"/>
        </w:rPr>
      </w:pPr>
    </w:p>
    <w:p w14:paraId="2D0EAB2A">
      <w:pPr>
        <w:jc w:val="left"/>
        <w:outlineLvl w:val="1"/>
        <w:rPr>
          <w:rFonts w:hint="eastAsia" w:ascii="仿宋" w:hAnsi="仿宋" w:eastAsia="仿宋" w:cs="Times New Roman"/>
          <w:b/>
          <w:sz w:val="32"/>
          <w:szCs w:val="32"/>
          <w:lang w:val="en-US" w:eastAsia="zh-CN"/>
        </w:rPr>
      </w:pPr>
    </w:p>
    <w:p w14:paraId="50F651D2">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5"/>
      </w:pPr>
    </w:p>
    <w:p w14:paraId="24C96315">
      <w:pPr>
        <w:pStyle w:val="5"/>
      </w:pPr>
    </w:p>
    <w:p w14:paraId="7CC10187">
      <w:pPr>
        <w:pStyle w:val="5"/>
      </w:pPr>
    </w:p>
    <w:p w14:paraId="370F17FF">
      <w:pPr>
        <w:pStyle w:val="5"/>
      </w:pPr>
    </w:p>
    <w:p w14:paraId="4F49DCE2">
      <w:pPr>
        <w:pStyle w:val="5"/>
      </w:pPr>
    </w:p>
    <w:p w14:paraId="7C34005B">
      <w:pPr>
        <w:pStyle w:val="5"/>
      </w:pPr>
    </w:p>
    <w:p w14:paraId="5FFA4F5A">
      <w:pPr>
        <w:pStyle w:val="5"/>
      </w:pPr>
    </w:p>
    <w:p w14:paraId="1CDE2E9F">
      <w:pPr>
        <w:pStyle w:val="5"/>
      </w:pPr>
    </w:p>
    <w:p w14:paraId="76D15524">
      <w:pPr>
        <w:pStyle w:val="5"/>
      </w:pPr>
    </w:p>
    <w:p w14:paraId="134DBBD8">
      <w:pPr>
        <w:pStyle w:val="5"/>
      </w:pPr>
    </w:p>
    <w:p w14:paraId="67CE7340">
      <w:pPr>
        <w:pStyle w:val="5"/>
      </w:pPr>
    </w:p>
    <w:p w14:paraId="1550FC44">
      <w:pPr>
        <w:pStyle w:val="5"/>
      </w:pPr>
    </w:p>
    <w:p w14:paraId="30B538CD">
      <w:pPr>
        <w:pStyle w:val="5"/>
      </w:pPr>
    </w:p>
    <w:p w14:paraId="6CB70454">
      <w:pPr>
        <w:pStyle w:val="5"/>
      </w:pPr>
    </w:p>
    <w:p w14:paraId="1EC58313">
      <w:pPr>
        <w:pStyle w:val="5"/>
      </w:pPr>
    </w:p>
    <w:p w14:paraId="46995F7F">
      <w:pPr>
        <w:pStyle w:val="5"/>
      </w:pPr>
    </w:p>
    <w:p w14:paraId="30CE1280">
      <w:pPr>
        <w:pStyle w:val="5"/>
      </w:pPr>
    </w:p>
    <w:p w14:paraId="6CC6FFA9">
      <w:pPr>
        <w:pStyle w:val="5"/>
      </w:pPr>
    </w:p>
    <w:p w14:paraId="19034583">
      <w:pPr>
        <w:pStyle w:val="5"/>
      </w:pPr>
    </w:p>
    <w:p w14:paraId="2001A37E">
      <w:pPr>
        <w:pStyle w:val="5"/>
      </w:pPr>
    </w:p>
    <w:p w14:paraId="64B814F5">
      <w:pPr>
        <w:pStyle w:val="5"/>
      </w:pPr>
    </w:p>
    <w:p w14:paraId="05E0F8B1">
      <w:pPr>
        <w:pStyle w:val="5"/>
      </w:pPr>
    </w:p>
    <w:p w14:paraId="6754634D">
      <w:pPr>
        <w:pStyle w:val="5"/>
      </w:pPr>
    </w:p>
    <w:p w14:paraId="2BA112F2">
      <w:pPr>
        <w:pStyle w:val="5"/>
      </w:pPr>
    </w:p>
    <w:p w14:paraId="3B412973">
      <w:pPr>
        <w:pStyle w:val="5"/>
      </w:pPr>
    </w:p>
    <w:p w14:paraId="0C4ACD0C">
      <w:pPr>
        <w:pStyle w:val="5"/>
      </w:pPr>
    </w:p>
    <w:p w14:paraId="2BD0605E">
      <w:pPr>
        <w:pStyle w:val="5"/>
      </w:pPr>
    </w:p>
    <w:p w14:paraId="291EC429">
      <w:pPr>
        <w:pStyle w:val="5"/>
      </w:pPr>
    </w:p>
    <w:p w14:paraId="6ECE1708">
      <w:pPr>
        <w:pStyle w:val="5"/>
      </w:pPr>
    </w:p>
    <w:p w14:paraId="7BE08999">
      <w:pPr>
        <w:pStyle w:val="5"/>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5"/>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05688D36">
      <w:pPr>
        <w:pStyle w:val="5"/>
        <w:jc w:val="left"/>
        <w:rPr>
          <w:b/>
          <w:sz w:val="44"/>
          <w:szCs w:val="36"/>
        </w:rPr>
      </w:pPr>
    </w:p>
    <w:p w14:paraId="1D91DCD2">
      <w:pPr>
        <w:pStyle w:val="5"/>
        <w:jc w:val="left"/>
        <w:rPr>
          <w:b/>
          <w:sz w:val="44"/>
          <w:szCs w:val="36"/>
        </w:rPr>
      </w:pPr>
      <w:r>
        <w:rPr>
          <w:rFonts w:hint="eastAsia"/>
          <w:b/>
          <w:sz w:val="44"/>
          <w:szCs w:val="36"/>
        </w:rPr>
        <w:t>二、商务技术文件格式</w:t>
      </w:r>
    </w:p>
    <w:p w14:paraId="3057EAD6">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报价表（格式）</w:t>
      </w:r>
    </w:p>
    <w:p w14:paraId="5E960700">
      <w:pPr>
        <w:spacing w:line="500" w:lineRule="exact"/>
        <w:jc w:val="center"/>
        <w:rPr>
          <w:rFonts w:ascii="仿宋" w:hAnsi="仿宋" w:eastAsia="仿宋"/>
          <w:b/>
          <w:sz w:val="44"/>
          <w:szCs w:val="44"/>
        </w:rPr>
      </w:pPr>
      <w:r>
        <w:rPr>
          <w:rFonts w:hint="eastAsia" w:ascii="仿宋" w:hAnsi="仿宋" w:eastAsia="仿宋"/>
          <w:b/>
          <w:sz w:val="44"/>
          <w:szCs w:val="44"/>
        </w:rPr>
        <w:t>报价表</w:t>
      </w:r>
    </w:p>
    <w:p w14:paraId="4F11320C">
      <w:pPr>
        <w:snapToGrid w:val="0"/>
        <w:spacing w:line="50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243EE80A">
      <w:pPr>
        <w:pStyle w:val="5"/>
      </w:pPr>
    </w:p>
    <w:tbl>
      <w:tblPr>
        <w:tblStyle w:val="1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2693"/>
        <w:gridCol w:w="851"/>
        <w:gridCol w:w="850"/>
        <w:gridCol w:w="1134"/>
        <w:gridCol w:w="1560"/>
      </w:tblGrid>
      <w:tr w14:paraId="570F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332F6075">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6E21E6C1">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693" w:type="dxa"/>
            <w:tcBorders>
              <w:top w:val="single" w:color="auto" w:sz="4" w:space="0"/>
              <w:left w:val="single" w:color="auto" w:sz="4" w:space="0"/>
              <w:bottom w:val="single" w:color="auto" w:sz="4" w:space="0"/>
              <w:right w:val="single" w:color="auto" w:sz="4" w:space="0"/>
            </w:tcBorders>
            <w:vAlign w:val="center"/>
          </w:tcPr>
          <w:p w14:paraId="33D29499">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02A6540C">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554D56CA">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057EFA85">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1474D52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1F2F2A4E">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60" w:type="dxa"/>
            <w:tcBorders>
              <w:top w:val="single" w:color="auto" w:sz="4" w:space="0"/>
              <w:left w:val="single" w:color="auto" w:sz="4" w:space="0"/>
              <w:bottom w:val="single" w:color="auto" w:sz="4" w:space="0"/>
              <w:right w:val="single" w:color="auto" w:sz="4" w:space="0"/>
            </w:tcBorders>
            <w:vAlign w:val="center"/>
          </w:tcPr>
          <w:p w14:paraId="2AE63301">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2E5B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0C3E3A9A">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2268" w:type="dxa"/>
            <w:tcBorders>
              <w:top w:val="single" w:color="auto" w:sz="4" w:space="0"/>
              <w:left w:val="single" w:color="auto" w:sz="4" w:space="0"/>
              <w:bottom w:val="single" w:color="auto" w:sz="4" w:space="0"/>
              <w:right w:val="single" w:color="auto" w:sz="4" w:space="0"/>
            </w:tcBorders>
            <w:vAlign w:val="center"/>
          </w:tcPr>
          <w:p w14:paraId="3170E3E6">
            <w:pPr>
              <w:widowControl/>
              <w:jc w:val="center"/>
              <w:textAlignment w:val="center"/>
              <w:rPr>
                <w:rFonts w:ascii="仿宋" w:hAnsi="仿宋" w:eastAsia="仿宋" w:cs="Arial"/>
                <w:bCs/>
                <w:sz w:val="30"/>
                <w:szCs w:val="30"/>
              </w:rPr>
            </w:pPr>
          </w:p>
        </w:tc>
        <w:tc>
          <w:tcPr>
            <w:tcW w:w="2693" w:type="dxa"/>
            <w:tcBorders>
              <w:top w:val="single" w:color="auto" w:sz="4" w:space="0"/>
              <w:left w:val="single" w:color="auto" w:sz="4" w:space="0"/>
              <w:bottom w:val="single" w:color="auto" w:sz="4" w:space="0"/>
              <w:right w:val="single" w:color="auto" w:sz="4" w:space="0"/>
            </w:tcBorders>
            <w:vAlign w:val="center"/>
          </w:tcPr>
          <w:p w14:paraId="78147B87">
            <w:pPr>
              <w:spacing w:line="360" w:lineRule="exact"/>
              <w:rPr>
                <w:rFonts w:ascii="仿宋" w:hAnsi="仿宋" w:eastAsia="仿宋" w:cs="Arial"/>
                <w:bCs/>
                <w:sz w:val="30"/>
                <w:szCs w:val="30"/>
              </w:rPr>
            </w:pPr>
          </w:p>
          <w:p w14:paraId="1101F199">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55FA562A">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15E001">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54FCE4A7">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12AFDD82">
            <w:pPr>
              <w:widowControl/>
              <w:jc w:val="center"/>
              <w:textAlignment w:val="center"/>
              <w:rPr>
                <w:rFonts w:ascii="仿宋" w:hAnsi="仿宋" w:eastAsia="仿宋" w:cs="Arial"/>
                <w:bCs/>
                <w:sz w:val="30"/>
                <w:szCs w:val="30"/>
              </w:rPr>
            </w:pPr>
          </w:p>
        </w:tc>
      </w:tr>
      <w:tr w14:paraId="40DF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0A0C41F">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2268" w:type="dxa"/>
            <w:tcBorders>
              <w:top w:val="single" w:color="auto" w:sz="4" w:space="0"/>
              <w:left w:val="single" w:color="auto" w:sz="4" w:space="0"/>
              <w:bottom w:val="single" w:color="auto" w:sz="4" w:space="0"/>
              <w:right w:val="single" w:color="auto" w:sz="4" w:space="0"/>
            </w:tcBorders>
            <w:vAlign w:val="center"/>
          </w:tcPr>
          <w:p w14:paraId="0D3D8AE6">
            <w:pPr>
              <w:widowControl/>
              <w:jc w:val="center"/>
              <w:textAlignment w:val="center"/>
              <w:rPr>
                <w:rFonts w:ascii="仿宋" w:hAnsi="仿宋" w:eastAsia="仿宋" w:cs="Arial"/>
                <w:bCs/>
                <w:sz w:val="30"/>
                <w:szCs w:val="30"/>
              </w:rPr>
            </w:pPr>
          </w:p>
        </w:tc>
        <w:tc>
          <w:tcPr>
            <w:tcW w:w="2693" w:type="dxa"/>
            <w:tcBorders>
              <w:top w:val="single" w:color="auto" w:sz="4" w:space="0"/>
              <w:left w:val="single" w:color="auto" w:sz="4" w:space="0"/>
              <w:bottom w:val="single" w:color="auto" w:sz="4" w:space="0"/>
              <w:right w:val="single" w:color="auto" w:sz="4" w:space="0"/>
            </w:tcBorders>
            <w:vAlign w:val="center"/>
          </w:tcPr>
          <w:p w14:paraId="75269877">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44891B6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40DBB870">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7A5CC9D4">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4DEB4ED6">
            <w:pPr>
              <w:widowControl/>
              <w:jc w:val="center"/>
              <w:textAlignment w:val="center"/>
              <w:rPr>
                <w:rFonts w:ascii="仿宋" w:hAnsi="仿宋" w:eastAsia="仿宋" w:cs="Arial"/>
                <w:bCs/>
                <w:sz w:val="30"/>
                <w:szCs w:val="30"/>
              </w:rPr>
            </w:pPr>
          </w:p>
        </w:tc>
      </w:tr>
      <w:tr w14:paraId="4096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6C4EEE35">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2268" w:type="dxa"/>
            <w:tcBorders>
              <w:top w:val="single" w:color="auto" w:sz="4" w:space="0"/>
              <w:left w:val="single" w:color="auto" w:sz="4" w:space="0"/>
              <w:bottom w:val="single" w:color="auto" w:sz="4" w:space="0"/>
              <w:right w:val="single" w:color="auto" w:sz="4" w:space="0"/>
            </w:tcBorders>
            <w:vAlign w:val="center"/>
          </w:tcPr>
          <w:p w14:paraId="217B298C">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693" w:type="dxa"/>
            <w:tcBorders>
              <w:top w:val="single" w:color="auto" w:sz="4" w:space="0"/>
              <w:left w:val="single" w:color="auto" w:sz="4" w:space="0"/>
              <w:bottom w:val="single" w:color="auto" w:sz="4" w:space="0"/>
              <w:right w:val="single" w:color="auto" w:sz="4" w:space="0"/>
            </w:tcBorders>
            <w:vAlign w:val="center"/>
          </w:tcPr>
          <w:p w14:paraId="5A5716C5">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2B65885">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7874E4E9">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0A6FD5A6">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50612D8A">
            <w:pPr>
              <w:widowControl/>
              <w:jc w:val="center"/>
              <w:textAlignment w:val="center"/>
              <w:rPr>
                <w:rFonts w:ascii="仿宋" w:hAnsi="仿宋" w:eastAsia="仿宋" w:cs="Arial"/>
                <w:bCs/>
                <w:sz w:val="30"/>
                <w:szCs w:val="30"/>
              </w:rPr>
            </w:pPr>
          </w:p>
        </w:tc>
      </w:tr>
      <w:tr w14:paraId="6AA3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173" w:type="dxa"/>
            <w:gridSpan w:val="7"/>
            <w:tcBorders>
              <w:top w:val="single" w:color="auto" w:sz="4" w:space="0"/>
              <w:left w:val="single" w:color="auto" w:sz="4" w:space="0"/>
              <w:bottom w:val="single" w:color="auto" w:sz="4" w:space="0"/>
              <w:right w:val="single" w:color="auto" w:sz="4" w:space="0"/>
            </w:tcBorders>
            <w:vAlign w:val="center"/>
          </w:tcPr>
          <w:p w14:paraId="40ED4F0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D77BFAD">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1A21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173" w:type="dxa"/>
            <w:gridSpan w:val="7"/>
            <w:tcBorders>
              <w:top w:val="single" w:color="auto" w:sz="4" w:space="0"/>
              <w:left w:val="single" w:color="auto" w:sz="4" w:space="0"/>
              <w:bottom w:val="single" w:color="auto" w:sz="4" w:space="0"/>
              <w:right w:val="single" w:color="auto" w:sz="4" w:space="0"/>
            </w:tcBorders>
            <w:vAlign w:val="center"/>
          </w:tcPr>
          <w:p w14:paraId="68E98E8F">
            <w:pPr>
              <w:rPr>
                <w:rFonts w:hint="eastAsia"/>
                <w:lang w:val="en-US" w:eastAsia="zh-CN"/>
              </w:rPr>
            </w:pPr>
            <w:r>
              <w:rPr>
                <w:rFonts w:hint="eastAsia"/>
                <w:lang w:val="en-US" w:eastAsia="zh-CN"/>
              </w:rPr>
              <w:t>交付时间：自合同签订之日起</w:t>
            </w:r>
            <w:r>
              <w:rPr>
                <w:rFonts w:hint="eastAsia"/>
                <w:b/>
                <w:bCs/>
                <w:u w:val="single"/>
                <w:lang w:val="en-US" w:eastAsia="zh-CN"/>
              </w:rPr>
              <w:t xml:space="preserve">     内</w:t>
            </w:r>
            <w:r>
              <w:rPr>
                <w:rFonts w:hint="eastAsia"/>
                <w:lang w:val="en-US" w:eastAsia="zh-CN"/>
              </w:rPr>
              <w:t>验收合格并交付使用。</w:t>
            </w:r>
          </w:p>
          <w:p w14:paraId="25D40691">
            <w:pPr>
              <w:rPr>
                <w:rFonts w:hint="eastAsia"/>
              </w:rPr>
            </w:pPr>
            <w:r>
              <w:rPr>
                <w:rFonts w:hint="eastAsia"/>
                <w:lang w:val="en-US" w:eastAsia="zh-CN"/>
              </w:rPr>
              <w:t>质保期：自验收合格并交付使用之日起</w:t>
            </w:r>
            <w:r>
              <w:rPr>
                <w:rFonts w:hint="eastAsia"/>
              </w:rPr>
              <w:t>安防监控系统平台迁移及利旧集成服务</w:t>
            </w:r>
            <w:r>
              <w:rPr>
                <w:rFonts w:hint="eastAsia"/>
                <w:b/>
                <w:bCs/>
                <w:u w:val="single"/>
                <w:lang w:val="en-US" w:eastAsia="zh-CN"/>
              </w:rPr>
              <w:t xml:space="preserve">   年</w:t>
            </w:r>
            <w:r>
              <w:rPr>
                <w:rFonts w:hint="eastAsia"/>
                <w:lang w:val="en-US" w:eastAsia="zh-CN"/>
              </w:rPr>
              <w:t>、硬盘</w:t>
            </w:r>
            <w:r>
              <w:rPr>
                <w:rFonts w:hint="eastAsia"/>
                <w:b/>
                <w:bCs/>
                <w:u w:val="single"/>
                <w:lang w:val="en-US" w:eastAsia="zh-CN"/>
              </w:rPr>
              <w:t xml:space="preserve">  年 </w:t>
            </w:r>
            <w:r>
              <w:rPr>
                <w:rFonts w:hint="eastAsia"/>
                <w:lang w:val="en-US" w:eastAsia="zh-CN"/>
              </w:rPr>
              <w:t>。</w:t>
            </w:r>
          </w:p>
          <w:p w14:paraId="0480323A">
            <w:pPr>
              <w:pStyle w:val="5"/>
            </w:pPr>
          </w:p>
        </w:tc>
      </w:tr>
    </w:tbl>
    <w:p w14:paraId="676A79B2">
      <w:pPr>
        <w:pStyle w:val="6"/>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8DE238D">
      <w:pPr>
        <w:pStyle w:val="7"/>
        <w:ind w:left="5250"/>
      </w:pPr>
    </w:p>
    <w:p w14:paraId="0490C2AC">
      <w:pPr>
        <w:pStyle w:val="6"/>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536B6F3F">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2A7D69C7">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448DB939">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7059FC1C">
      <w:pPr>
        <w:widowControl/>
        <w:adjustRightInd w:val="0"/>
        <w:snapToGrid w:val="0"/>
        <w:spacing w:line="360" w:lineRule="auto"/>
        <w:jc w:val="left"/>
        <w:rPr>
          <w:rFonts w:ascii="仿宋" w:hAnsi="仿宋" w:eastAsia="仿宋" w:cs="Arial"/>
          <w:color w:val="000000"/>
          <w:kern w:val="0"/>
          <w:sz w:val="30"/>
          <w:szCs w:val="30"/>
        </w:rPr>
      </w:pPr>
    </w:p>
    <w:p w14:paraId="4D3D706F">
      <w:pPr>
        <w:pStyle w:val="5"/>
        <w:jc w:val="left"/>
        <w:rPr>
          <w:rFonts w:ascii="宋体" w:hAnsi="宋体" w:cs="宋体"/>
          <w:b/>
          <w:sz w:val="28"/>
        </w:rPr>
      </w:pPr>
    </w:p>
    <w:p w14:paraId="71114B9D">
      <w:pPr>
        <w:pStyle w:val="5"/>
        <w:jc w:val="left"/>
        <w:rPr>
          <w:rFonts w:hint="eastAsia" w:ascii="宋体" w:hAnsi="宋体" w:cs="宋体"/>
          <w:b/>
          <w:sz w:val="28"/>
        </w:rPr>
      </w:pPr>
    </w:p>
    <w:p w14:paraId="42D1A3FD">
      <w:pPr>
        <w:pStyle w:val="5"/>
        <w:jc w:val="left"/>
        <w:rPr>
          <w:rFonts w:ascii="宋体" w:hAnsi="宋体" w:cs="宋体"/>
        </w:rPr>
      </w:pPr>
      <w:r>
        <w:rPr>
          <w:rFonts w:hint="eastAsia" w:ascii="宋体" w:hAnsi="宋体" w:cs="宋体"/>
          <w:b/>
          <w:sz w:val="28"/>
        </w:rPr>
        <w:t>2.商务、技术响应、偏离情况说明表</w:t>
      </w:r>
    </w:p>
    <w:p w14:paraId="17459B5C">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08E5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B9DB8B1">
            <w:pPr>
              <w:adjustRightInd w:val="0"/>
              <w:snapToGrid w:val="0"/>
              <w:spacing w:line="300" w:lineRule="auto"/>
              <w:outlineLvl w:val="0"/>
              <w:rPr>
                <w:rFonts w:ascii="宋体" w:hAnsi="宋体"/>
                <w:sz w:val="24"/>
                <w:szCs w:val="24"/>
              </w:rPr>
            </w:pPr>
            <w:bookmarkStart w:id="5" w:name="_Toc171349578"/>
            <w:bookmarkStart w:id="6" w:name="_Toc254970729"/>
            <w:bookmarkStart w:id="7" w:name="_Toc405905876"/>
            <w:bookmarkStart w:id="8" w:name="_Toc254970588"/>
            <w:bookmarkStart w:id="9" w:name="_Toc173211900"/>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7E581D9E">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1B8C096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96D68C6">
            <w:pPr>
              <w:adjustRightInd w:val="0"/>
              <w:snapToGrid w:val="0"/>
              <w:spacing w:line="300" w:lineRule="auto"/>
              <w:jc w:val="center"/>
              <w:outlineLvl w:val="0"/>
              <w:rPr>
                <w:rFonts w:ascii="宋体" w:hAnsi="宋体"/>
                <w:sz w:val="24"/>
                <w:szCs w:val="24"/>
              </w:rPr>
            </w:pPr>
            <w:bookmarkStart w:id="11" w:name="_Toc173066404"/>
            <w:bookmarkStart w:id="12" w:name="_Toc254970591"/>
            <w:bookmarkStart w:id="13" w:name="_Toc254970732"/>
            <w:bookmarkStart w:id="14" w:name="_Toc173211903"/>
            <w:bookmarkStart w:id="15" w:name="_Toc171349581"/>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25D9BF6">
            <w:pPr>
              <w:adjustRightInd w:val="0"/>
              <w:snapToGrid w:val="0"/>
              <w:spacing w:line="300" w:lineRule="auto"/>
              <w:jc w:val="center"/>
              <w:outlineLvl w:val="0"/>
              <w:rPr>
                <w:rFonts w:ascii="宋体" w:hAnsi="宋体"/>
                <w:sz w:val="24"/>
                <w:szCs w:val="24"/>
              </w:rPr>
            </w:pPr>
            <w:bookmarkStart w:id="17" w:name="_Toc405905880"/>
            <w:bookmarkStart w:id="18" w:name="_Toc254970733"/>
            <w:bookmarkStart w:id="19" w:name="_Toc171349582"/>
            <w:bookmarkStart w:id="20" w:name="_Toc173066405"/>
            <w:bookmarkStart w:id="21" w:name="_Toc254970592"/>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08CF5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E10E15A">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7ABDA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91F2DA5">
            <w:pPr>
              <w:adjustRightInd w:val="0"/>
              <w:snapToGrid w:val="0"/>
              <w:spacing w:line="240" w:lineRule="exact"/>
              <w:jc w:val="center"/>
              <w:outlineLvl w:val="0"/>
              <w:rPr>
                <w:rFonts w:ascii="宋体" w:hAnsi="宋体"/>
                <w:sz w:val="24"/>
                <w:szCs w:val="24"/>
              </w:rPr>
            </w:pPr>
            <w:bookmarkStart w:id="25" w:name="_Toc254970593"/>
            <w:bookmarkStart w:id="26" w:name="_Toc173066406"/>
            <w:bookmarkStart w:id="27" w:name="_Toc405905882"/>
            <w:bookmarkStart w:id="28" w:name="_Toc254970734"/>
            <w:bookmarkStart w:id="29" w:name="_Toc173211905"/>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1C97F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242F59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E5B865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2E89D7E">
            <w:pPr>
              <w:adjustRightInd w:val="0"/>
              <w:snapToGrid w:val="0"/>
              <w:spacing w:line="240" w:lineRule="exact"/>
              <w:jc w:val="center"/>
              <w:outlineLvl w:val="0"/>
              <w:rPr>
                <w:rFonts w:ascii="宋体" w:hAnsi="宋体"/>
                <w:sz w:val="24"/>
                <w:szCs w:val="24"/>
              </w:rPr>
            </w:pPr>
          </w:p>
        </w:tc>
      </w:tr>
      <w:tr w14:paraId="6B8AF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C900C12">
            <w:pPr>
              <w:adjustRightInd w:val="0"/>
              <w:snapToGrid w:val="0"/>
              <w:spacing w:line="240" w:lineRule="exact"/>
              <w:jc w:val="center"/>
              <w:outlineLvl w:val="0"/>
              <w:rPr>
                <w:rFonts w:ascii="宋体" w:hAnsi="宋体"/>
                <w:sz w:val="24"/>
                <w:szCs w:val="24"/>
              </w:rPr>
            </w:pPr>
            <w:bookmarkStart w:id="31" w:name="_Toc254970735"/>
            <w:bookmarkStart w:id="32" w:name="_Toc171349585"/>
            <w:bookmarkStart w:id="33" w:name="_Toc173066407"/>
            <w:bookmarkStart w:id="34" w:name="_Toc254970594"/>
            <w:bookmarkStart w:id="35" w:name="_Toc173211906"/>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4AA2D4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F32793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41CA1F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DE13B39">
            <w:pPr>
              <w:adjustRightInd w:val="0"/>
              <w:snapToGrid w:val="0"/>
              <w:spacing w:line="240" w:lineRule="exact"/>
              <w:jc w:val="center"/>
              <w:outlineLvl w:val="0"/>
              <w:rPr>
                <w:rFonts w:ascii="宋体" w:hAnsi="宋体"/>
                <w:sz w:val="24"/>
                <w:szCs w:val="24"/>
              </w:rPr>
            </w:pPr>
          </w:p>
        </w:tc>
      </w:tr>
      <w:tr w14:paraId="3BE39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81033CE">
            <w:pPr>
              <w:adjustRightInd w:val="0"/>
              <w:snapToGrid w:val="0"/>
              <w:spacing w:line="240" w:lineRule="exact"/>
              <w:jc w:val="center"/>
              <w:outlineLvl w:val="0"/>
              <w:rPr>
                <w:rFonts w:ascii="宋体" w:hAnsi="宋体"/>
                <w:sz w:val="24"/>
                <w:szCs w:val="24"/>
              </w:rPr>
            </w:pPr>
            <w:bookmarkStart w:id="37" w:name="_Toc254970595"/>
            <w:bookmarkStart w:id="38" w:name="_Toc405905884"/>
            <w:bookmarkStart w:id="39" w:name="_Toc171349586"/>
            <w:bookmarkStart w:id="40" w:name="_Toc254970736"/>
            <w:bookmarkStart w:id="41" w:name="_Toc173211907"/>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41C2195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CAB613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407F634">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306536C">
            <w:pPr>
              <w:adjustRightInd w:val="0"/>
              <w:snapToGrid w:val="0"/>
              <w:spacing w:line="240" w:lineRule="exact"/>
              <w:jc w:val="center"/>
              <w:outlineLvl w:val="0"/>
              <w:rPr>
                <w:rFonts w:ascii="宋体" w:hAnsi="宋体"/>
                <w:sz w:val="24"/>
                <w:szCs w:val="24"/>
              </w:rPr>
            </w:pPr>
          </w:p>
        </w:tc>
      </w:tr>
      <w:tr w14:paraId="764FF6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33A8F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43785EE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15FBF5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90C42A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11FDAE8">
            <w:pPr>
              <w:adjustRightInd w:val="0"/>
              <w:snapToGrid w:val="0"/>
              <w:spacing w:line="240" w:lineRule="exact"/>
              <w:jc w:val="center"/>
              <w:outlineLvl w:val="0"/>
              <w:rPr>
                <w:rFonts w:ascii="宋体" w:hAnsi="宋体"/>
                <w:sz w:val="24"/>
                <w:szCs w:val="24"/>
              </w:rPr>
            </w:pPr>
          </w:p>
        </w:tc>
      </w:tr>
      <w:tr w14:paraId="05AA30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53EC195">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75B175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FAFB791">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636E4EA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4BC6A2E">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889879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041F4">
            <w:pPr>
              <w:adjustRightInd w:val="0"/>
              <w:snapToGrid w:val="0"/>
              <w:spacing w:line="240" w:lineRule="exact"/>
              <w:jc w:val="center"/>
              <w:outlineLvl w:val="0"/>
              <w:rPr>
                <w:rFonts w:ascii="宋体" w:hAnsi="宋体"/>
                <w:sz w:val="24"/>
                <w:szCs w:val="24"/>
              </w:rPr>
            </w:pPr>
          </w:p>
        </w:tc>
      </w:tr>
      <w:tr w14:paraId="70BF5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1F53195">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3F516D7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D5AF85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5A15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79958AD">
            <w:pPr>
              <w:adjustRightInd w:val="0"/>
              <w:snapToGrid w:val="0"/>
              <w:spacing w:line="240" w:lineRule="exact"/>
              <w:jc w:val="center"/>
              <w:outlineLvl w:val="0"/>
              <w:rPr>
                <w:rFonts w:ascii="宋体" w:hAnsi="宋体"/>
                <w:sz w:val="24"/>
                <w:szCs w:val="24"/>
              </w:rPr>
            </w:pPr>
          </w:p>
        </w:tc>
      </w:tr>
      <w:tr w14:paraId="2AC5DB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B0CFB9D">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5CE593A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432CF8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5A9EAF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D23B27">
            <w:pPr>
              <w:adjustRightInd w:val="0"/>
              <w:snapToGrid w:val="0"/>
              <w:spacing w:line="240" w:lineRule="exact"/>
              <w:jc w:val="center"/>
              <w:outlineLvl w:val="0"/>
              <w:rPr>
                <w:rFonts w:ascii="宋体" w:hAnsi="宋体"/>
                <w:sz w:val="24"/>
                <w:szCs w:val="24"/>
              </w:rPr>
            </w:pPr>
          </w:p>
        </w:tc>
      </w:tr>
      <w:tr w14:paraId="3044DE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68A7F32">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67A904C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1CDB4BB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C0799F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077CE9CB">
            <w:pPr>
              <w:adjustRightInd w:val="0"/>
              <w:snapToGrid w:val="0"/>
              <w:spacing w:line="240" w:lineRule="exact"/>
              <w:jc w:val="center"/>
              <w:outlineLvl w:val="0"/>
              <w:rPr>
                <w:rFonts w:ascii="宋体" w:hAnsi="宋体"/>
                <w:sz w:val="24"/>
                <w:szCs w:val="24"/>
              </w:rPr>
            </w:pPr>
          </w:p>
        </w:tc>
      </w:tr>
    </w:tbl>
    <w:p w14:paraId="4A92BA3B">
      <w:pPr>
        <w:adjustRightInd w:val="0"/>
        <w:snapToGrid w:val="0"/>
        <w:spacing w:line="460" w:lineRule="exact"/>
        <w:rPr>
          <w:rFonts w:ascii="宋体" w:hAnsi="宋体"/>
          <w:sz w:val="24"/>
        </w:rPr>
      </w:pPr>
      <w:r>
        <w:rPr>
          <w:rFonts w:hint="eastAsia" w:ascii="宋体" w:hAnsi="宋体"/>
          <w:sz w:val="24"/>
        </w:rPr>
        <w:t>说明：</w:t>
      </w:r>
    </w:p>
    <w:p w14:paraId="2E1BB0DD">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9D6A4A2">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7574193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1729D63C">
      <w:pPr>
        <w:pStyle w:val="5"/>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205DB34F">
      <w:pPr>
        <w:pStyle w:val="5"/>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55E35725">
      <w:pPr>
        <w:pStyle w:val="5"/>
        <w:jc w:val="left"/>
        <w:rPr>
          <w:rFonts w:ascii="宋体" w:hAnsi="宋体" w:cs="宋体"/>
          <w:b/>
          <w:sz w:val="24"/>
          <w:szCs w:val="24"/>
        </w:rPr>
      </w:pPr>
    </w:p>
    <w:p w14:paraId="2BD3B1EC">
      <w:pPr>
        <w:pStyle w:val="5"/>
        <w:jc w:val="left"/>
        <w:rPr>
          <w:b/>
          <w:sz w:val="28"/>
          <w:szCs w:val="24"/>
        </w:rPr>
      </w:pPr>
      <w:r>
        <w:rPr>
          <w:rFonts w:hint="eastAsia" w:ascii="宋体" w:hAnsi="宋体" w:cs="宋体"/>
          <w:b/>
          <w:sz w:val="24"/>
          <w:szCs w:val="24"/>
        </w:rPr>
        <w:t xml:space="preserve">      　　　　　　　　　　　　　                           日期：   年  月  日</w:t>
      </w:r>
    </w:p>
    <w:p w14:paraId="526A492E">
      <w:pPr>
        <w:pStyle w:val="5"/>
        <w:jc w:val="center"/>
        <w:rPr>
          <w:b/>
          <w:color w:val="FF0000"/>
        </w:rPr>
      </w:pPr>
    </w:p>
    <w:p w14:paraId="704710AA">
      <w:pPr>
        <w:pStyle w:val="5"/>
        <w:jc w:val="center"/>
        <w:rPr>
          <w:b/>
          <w:color w:val="FF0000"/>
        </w:rPr>
      </w:pPr>
    </w:p>
    <w:sectPr>
      <w:footerReference r:id="rId3" w:type="default"/>
      <w:pgSz w:w="11906" w:h="16838"/>
      <w:pgMar w:top="720" w:right="720" w:bottom="568"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360714"/>
      <w:docPartObj>
        <w:docPartGallery w:val="autotext"/>
      </w:docPartObj>
    </w:sdtPr>
    <w:sdtContent>
      <w:p w14:paraId="53F26E25">
        <w:pPr>
          <w:pStyle w:val="9"/>
          <w:jc w:val="center"/>
        </w:pPr>
        <w:r>
          <w:fldChar w:fldCharType="begin"/>
        </w:r>
        <w:r>
          <w:instrText xml:space="preserve">PAGE   \* MERGEFORMAT</w:instrText>
        </w:r>
        <w:r>
          <w:fldChar w:fldCharType="separate"/>
        </w:r>
        <w:r>
          <w:rPr>
            <w:lang w:val="zh-CN"/>
          </w:rPr>
          <w:t>1</w:t>
        </w:r>
        <w:r>
          <w:fldChar w:fldCharType="end"/>
        </w:r>
      </w:p>
    </w:sdtContent>
  </w:sdt>
  <w:p w14:paraId="076F5C4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C2A1B"/>
    <w:multiLevelType w:val="singleLevel"/>
    <w:tmpl w:val="FE4C2A1B"/>
    <w:lvl w:ilvl="0" w:tentative="0">
      <w:start w:val="1"/>
      <w:numFmt w:val="decimal"/>
      <w:suff w:val="nothing"/>
      <w:lvlText w:val="（%1）"/>
      <w:lvlJc w:val="left"/>
    </w:lvl>
  </w:abstractNum>
  <w:abstractNum w:abstractNumId="1">
    <w:nsid w:val="053EDD27"/>
    <w:multiLevelType w:val="singleLevel"/>
    <w:tmpl w:val="053EDD27"/>
    <w:lvl w:ilvl="0" w:tentative="0">
      <w:start w:val="1"/>
      <w:numFmt w:val="chineseCounting"/>
      <w:suff w:val="nothing"/>
      <w:lvlText w:val="%1、"/>
      <w:lvlJc w:val="left"/>
      <w:rPr>
        <w:rFonts w:hint="eastAsia"/>
      </w:rPr>
    </w:lvl>
  </w:abstractNum>
  <w:abstractNum w:abstractNumId="2">
    <w:nsid w:val="0A46E091"/>
    <w:multiLevelType w:val="singleLevel"/>
    <w:tmpl w:val="0A46E091"/>
    <w:lvl w:ilvl="0" w:tentative="0">
      <w:start w:val="1"/>
      <w:numFmt w:val="chineseCounting"/>
      <w:suff w:val="nothing"/>
      <w:lvlText w:val="%1、"/>
      <w:lvlJc w:val="left"/>
      <w:rPr>
        <w:rFonts w:hint="eastAsia"/>
        <w:lang w:val="en-US"/>
      </w:rPr>
    </w:lvl>
  </w:abstractNum>
  <w:abstractNum w:abstractNumId="3">
    <w:nsid w:val="1519128E"/>
    <w:multiLevelType w:val="singleLevel"/>
    <w:tmpl w:val="1519128E"/>
    <w:lvl w:ilvl="0" w:tentative="0">
      <w:start w:val="7"/>
      <w:numFmt w:val="decimal"/>
      <w:lvlText w:val="%1."/>
      <w:lvlJc w:val="left"/>
      <w:pPr>
        <w:tabs>
          <w:tab w:val="left" w:pos="312"/>
        </w:tabs>
      </w:p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3B3"/>
    <w:rsid w:val="00022656"/>
    <w:rsid w:val="0003370D"/>
    <w:rsid w:val="0005406C"/>
    <w:rsid w:val="00076E2A"/>
    <w:rsid w:val="00081873"/>
    <w:rsid w:val="000927C5"/>
    <w:rsid w:val="00094D15"/>
    <w:rsid w:val="000977F7"/>
    <w:rsid w:val="000A5546"/>
    <w:rsid w:val="000A7ABD"/>
    <w:rsid w:val="000B2802"/>
    <w:rsid w:val="000D0700"/>
    <w:rsid w:val="000D24F9"/>
    <w:rsid w:val="000D2C6F"/>
    <w:rsid w:val="000D5571"/>
    <w:rsid w:val="000E0EBC"/>
    <w:rsid w:val="000F710A"/>
    <w:rsid w:val="001135F9"/>
    <w:rsid w:val="00115203"/>
    <w:rsid w:val="00121D26"/>
    <w:rsid w:val="00121F24"/>
    <w:rsid w:val="00131F1A"/>
    <w:rsid w:val="00131F2F"/>
    <w:rsid w:val="00133701"/>
    <w:rsid w:val="001569AA"/>
    <w:rsid w:val="00167C68"/>
    <w:rsid w:val="00167D27"/>
    <w:rsid w:val="001739BD"/>
    <w:rsid w:val="00175844"/>
    <w:rsid w:val="00175BD3"/>
    <w:rsid w:val="001841BB"/>
    <w:rsid w:val="00197C14"/>
    <w:rsid w:val="001A667A"/>
    <w:rsid w:val="001B2D59"/>
    <w:rsid w:val="001B52A8"/>
    <w:rsid w:val="001C5386"/>
    <w:rsid w:val="001C63F4"/>
    <w:rsid w:val="001E6CCD"/>
    <w:rsid w:val="001F2422"/>
    <w:rsid w:val="00223384"/>
    <w:rsid w:val="0022534B"/>
    <w:rsid w:val="00226ABE"/>
    <w:rsid w:val="00236666"/>
    <w:rsid w:val="002501BB"/>
    <w:rsid w:val="0026302E"/>
    <w:rsid w:val="00271181"/>
    <w:rsid w:val="00280A55"/>
    <w:rsid w:val="00294C3C"/>
    <w:rsid w:val="002967ED"/>
    <w:rsid w:val="002A1C58"/>
    <w:rsid w:val="002C07BF"/>
    <w:rsid w:val="002C2751"/>
    <w:rsid w:val="002D7B38"/>
    <w:rsid w:val="002F2408"/>
    <w:rsid w:val="002F48F6"/>
    <w:rsid w:val="002F50CF"/>
    <w:rsid w:val="0030619C"/>
    <w:rsid w:val="0031078D"/>
    <w:rsid w:val="00311FE0"/>
    <w:rsid w:val="00315036"/>
    <w:rsid w:val="00316B59"/>
    <w:rsid w:val="003301DA"/>
    <w:rsid w:val="00355C5A"/>
    <w:rsid w:val="0036474E"/>
    <w:rsid w:val="00372E5C"/>
    <w:rsid w:val="00393DFC"/>
    <w:rsid w:val="00396635"/>
    <w:rsid w:val="003C1C9F"/>
    <w:rsid w:val="003D50E2"/>
    <w:rsid w:val="003E01AC"/>
    <w:rsid w:val="003F0B20"/>
    <w:rsid w:val="003F30D5"/>
    <w:rsid w:val="0040574C"/>
    <w:rsid w:val="0040699E"/>
    <w:rsid w:val="004244FB"/>
    <w:rsid w:val="004259F0"/>
    <w:rsid w:val="004301B9"/>
    <w:rsid w:val="00431EBE"/>
    <w:rsid w:val="00433416"/>
    <w:rsid w:val="00433D45"/>
    <w:rsid w:val="00444B38"/>
    <w:rsid w:val="00445ECD"/>
    <w:rsid w:val="0045137C"/>
    <w:rsid w:val="00454500"/>
    <w:rsid w:val="00456DE7"/>
    <w:rsid w:val="00466260"/>
    <w:rsid w:val="00470B0F"/>
    <w:rsid w:val="00472E92"/>
    <w:rsid w:val="00476965"/>
    <w:rsid w:val="00485B0E"/>
    <w:rsid w:val="004B4EF7"/>
    <w:rsid w:val="004E038B"/>
    <w:rsid w:val="005023DE"/>
    <w:rsid w:val="00511C16"/>
    <w:rsid w:val="00520AF4"/>
    <w:rsid w:val="00524F9C"/>
    <w:rsid w:val="005257F6"/>
    <w:rsid w:val="00533183"/>
    <w:rsid w:val="00533262"/>
    <w:rsid w:val="005332BE"/>
    <w:rsid w:val="00544186"/>
    <w:rsid w:val="00562452"/>
    <w:rsid w:val="00572110"/>
    <w:rsid w:val="005726E0"/>
    <w:rsid w:val="005734B0"/>
    <w:rsid w:val="00585294"/>
    <w:rsid w:val="005A33D4"/>
    <w:rsid w:val="005A6583"/>
    <w:rsid w:val="005D5BA1"/>
    <w:rsid w:val="005E2826"/>
    <w:rsid w:val="005F2B63"/>
    <w:rsid w:val="00603AD8"/>
    <w:rsid w:val="0061569C"/>
    <w:rsid w:val="00632383"/>
    <w:rsid w:val="006342AC"/>
    <w:rsid w:val="00642021"/>
    <w:rsid w:val="00646E48"/>
    <w:rsid w:val="00662D69"/>
    <w:rsid w:val="006666BC"/>
    <w:rsid w:val="00670D4D"/>
    <w:rsid w:val="00676789"/>
    <w:rsid w:val="006B3B05"/>
    <w:rsid w:val="006C3961"/>
    <w:rsid w:val="006C5A9E"/>
    <w:rsid w:val="006D287A"/>
    <w:rsid w:val="006E71DF"/>
    <w:rsid w:val="006F58EB"/>
    <w:rsid w:val="0071767B"/>
    <w:rsid w:val="00720CCA"/>
    <w:rsid w:val="00730A0B"/>
    <w:rsid w:val="00736EC4"/>
    <w:rsid w:val="00751B63"/>
    <w:rsid w:val="00773684"/>
    <w:rsid w:val="0077783A"/>
    <w:rsid w:val="00780A03"/>
    <w:rsid w:val="00785079"/>
    <w:rsid w:val="00785A0F"/>
    <w:rsid w:val="00787137"/>
    <w:rsid w:val="007A6F05"/>
    <w:rsid w:val="007C01A3"/>
    <w:rsid w:val="007C0FF0"/>
    <w:rsid w:val="007C4D3E"/>
    <w:rsid w:val="007D2C2F"/>
    <w:rsid w:val="007D5B38"/>
    <w:rsid w:val="007D7CB6"/>
    <w:rsid w:val="007E3CBC"/>
    <w:rsid w:val="007E71BF"/>
    <w:rsid w:val="007F0AE0"/>
    <w:rsid w:val="007F7416"/>
    <w:rsid w:val="007F76EA"/>
    <w:rsid w:val="00810B52"/>
    <w:rsid w:val="00821EFF"/>
    <w:rsid w:val="00822192"/>
    <w:rsid w:val="00825E8F"/>
    <w:rsid w:val="0082601C"/>
    <w:rsid w:val="00826A10"/>
    <w:rsid w:val="00826C89"/>
    <w:rsid w:val="00831ED4"/>
    <w:rsid w:val="008419DB"/>
    <w:rsid w:val="008427E4"/>
    <w:rsid w:val="00847D62"/>
    <w:rsid w:val="00853AB3"/>
    <w:rsid w:val="00853CB4"/>
    <w:rsid w:val="00874053"/>
    <w:rsid w:val="00876773"/>
    <w:rsid w:val="00897F30"/>
    <w:rsid w:val="008A3635"/>
    <w:rsid w:val="008B26D7"/>
    <w:rsid w:val="008B3BCC"/>
    <w:rsid w:val="008B683E"/>
    <w:rsid w:val="008C4BF4"/>
    <w:rsid w:val="008F073E"/>
    <w:rsid w:val="008F5CD2"/>
    <w:rsid w:val="008F5DC6"/>
    <w:rsid w:val="00905CC9"/>
    <w:rsid w:val="009068A8"/>
    <w:rsid w:val="0090710C"/>
    <w:rsid w:val="009072C1"/>
    <w:rsid w:val="00916027"/>
    <w:rsid w:val="00916A7D"/>
    <w:rsid w:val="009204DD"/>
    <w:rsid w:val="00925C34"/>
    <w:rsid w:val="00941525"/>
    <w:rsid w:val="0095082E"/>
    <w:rsid w:val="00981FCA"/>
    <w:rsid w:val="009C24E5"/>
    <w:rsid w:val="009D3F03"/>
    <w:rsid w:val="009E0184"/>
    <w:rsid w:val="009E08B6"/>
    <w:rsid w:val="009E2708"/>
    <w:rsid w:val="009E4BA0"/>
    <w:rsid w:val="009F0680"/>
    <w:rsid w:val="009F3818"/>
    <w:rsid w:val="00A03853"/>
    <w:rsid w:val="00A048E8"/>
    <w:rsid w:val="00A10223"/>
    <w:rsid w:val="00A121A6"/>
    <w:rsid w:val="00A177D1"/>
    <w:rsid w:val="00A347D8"/>
    <w:rsid w:val="00A536B6"/>
    <w:rsid w:val="00A612FD"/>
    <w:rsid w:val="00A70653"/>
    <w:rsid w:val="00A7232A"/>
    <w:rsid w:val="00A724F0"/>
    <w:rsid w:val="00A83F4C"/>
    <w:rsid w:val="00A857E9"/>
    <w:rsid w:val="00A86B15"/>
    <w:rsid w:val="00A9023C"/>
    <w:rsid w:val="00A9151B"/>
    <w:rsid w:val="00AA274B"/>
    <w:rsid w:val="00AA2C32"/>
    <w:rsid w:val="00AA6592"/>
    <w:rsid w:val="00AC278C"/>
    <w:rsid w:val="00AD220C"/>
    <w:rsid w:val="00AD51A7"/>
    <w:rsid w:val="00AE7821"/>
    <w:rsid w:val="00AF241D"/>
    <w:rsid w:val="00AF74BE"/>
    <w:rsid w:val="00B11CE4"/>
    <w:rsid w:val="00B12F42"/>
    <w:rsid w:val="00B32DC9"/>
    <w:rsid w:val="00B37A35"/>
    <w:rsid w:val="00B37A8A"/>
    <w:rsid w:val="00B407D1"/>
    <w:rsid w:val="00B41D94"/>
    <w:rsid w:val="00B47C56"/>
    <w:rsid w:val="00B52E74"/>
    <w:rsid w:val="00B76A86"/>
    <w:rsid w:val="00B80378"/>
    <w:rsid w:val="00B84453"/>
    <w:rsid w:val="00B92D24"/>
    <w:rsid w:val="00B932DA"/>
    <w:rsid w:val="00BB2FE9"/>
    <w:rsid w:val="00BB35DD"/>
    <w:rsid w:val="00BC4DC9"/>
    <w:rsid w:val="00BC52E6"/>
    <w:rsid w:val="00BD7D93"/>
    <w:rsid w:val="00BE740B"/>
    <w:rsid w:val="00BF0338"/>
    <w:rsid w:val="00C00E88"/>
    <w:rsid w:val="00C00F3B"/>
    <w:rsid w:val="00C1072F"/>
    <w:rsid w:val="00C20D15"/>
    <w:rsid w:val="00C372E4"/>
    <w:rsid w:val="00C418AD"/>
    <w:rsid w:val="00C51641"/>
    <w:rsid w:val="00C52B82"/>
    <w:rsid w:val="00C61CDA"/>
    <w:rsid w:val="00C66EEE"/>
    <w:rsid w:val="00C83F26"/>
    <w:rsid w:val="00C85DDE"/>
    <w:rsid w:val="00CB36AB"/>
    <w:rsid w:val="00CD10EC"/>
    <w:rsid w:val="00CD76E9"/>
    <w:rsid w:val="00CF2741"/>
    <w:rsid w:val="00CF5452"/>
    <w:rsid w:val="00D11F27"/>
    <w:rsid w:val="00D157BB"/>
    <w:rsid w:val="00D15B7F"/>
    <w:rsid w:val="00D31AD8"/>
    <w:rsid w:val="00D33B90"/>
    <w:rsid w:val="00D423DD"/>
    <w:rsid w:val="00D43215"/>
    <w:rsid w:val="00D55902"/>
    <w:rsid w:val="00D57120"/>
    <w:rsid w:val="00D57635"/>
    <w:rsid w:val="00D57AE2"/>
    <w:rsid w:val="00D60345"/>
    <w:rsid w:val="00D6381E"/>
    <w:rsid w:val="00D65EE7"/>
    <w:rsid w:val="00D71D31"/>
    <w:rsid w:val="00D73BF7"/>
    <w:rsid w:val="00D73D52"/>
    <w:rsid w:val="00D775B8"/>
    <w:rsid w:val="00D8657A"/>
    <w:rsid w:val="00D90F04"/>
    <w:rsid w:val="00D95FE0"/>
    <w:rsid w:val="00DA45A1"/>
    <w:rsid w:val="00DD5680"/>
    <w:rsid w:val="00DE2A87"/>
    <w:rsid w:val="00DF0DEC"/>
    <w:rsid w:val="00E011F4"/>
    <w:rsid w:val="00E10E5E"/>
    <w:rsid w:val="00E226EF"/>
    <w:rsid w:val="00E22920"/>
    <w:rsid w:val="00E33548"/>
    <w:rsid w:val="00E50600"/>
    <w:rsid w:val="00E54C5F"/>
    <w:rsid w:val="00E64992"/>
    <w:rsid w:val="00E719CD"/>
    <w:rsid w:val="00E83569"/>
    <w:rsid w:val="00E95383"/>
    <w:rsid w:val="00EC7181"/>
    <w:rsid w:val="00EE2DD1"/>
    <w:rsid w:val="00EE40A3"/>
    <w:rsid w:val="00EE4E0F"/>
    <w:rsid w:val="00EF1142"/>
    <w:rsid w:val="00EF435F"/>
    <w:rsid w:val="00EF6B77"/>
    <w:rsid w:val="00F01ACD"/>
    <w:rsid w:val="00F23A55"/>
    <w:rsid w:val="00F23D78"/>
    <w:rsid w:val="00F23DEE"/>
    <w:rsid w:val="00F36AF2"/>
    <w:rsid w:val="00F41894"/>
    <w:rsid w:val="00F430D8"/>
    <w:rsid w:val="00F45965"/>
    <w:rsid w:val="00F5231C"/>
    <w:rsid w:val="00F529C6"/>
    <w:rsid w:val="00F534CB"/>
    <w:rsid w:val="00F73137"/>
    <w:rsid w:val="00F73145"/>
    <w:rsid w:val="00F75191"/>
    <w:rsid w:val="00F80DDD"/>
    <w:rsid w:val="00F82047"/>
    <w:rsid w:val="00F85CDE"/>
    <w:rsid w:val="00F85E9A"/>
    <w:rsid w:val="00F86FB3"/>
    <w:rsid w:val="00F90A34"/>
    <w:rsid w:val="00FC68B0"/>
    <w:rsid w:val="00FE0481"/>
    <w:rsid w:val="01B32C3A"/>
    <w:rsid w:val="01F35931"/>
    <w:rsid w:val="037F2773"/>
    <w:rsid w:val="05B11678"/>
    <w:rsid w:val="06846916"/>
    <w:rsid w:val="06C40151"/>
    <w:rsid w:val="09156C23"/>
    <w:rsid w:val="09D67F50"/>
    <w:rsid w:val="0C16644C"/>
    <w:rsid w:val="0C8A7403"/>
    <w:rsid w:val="0D6C2329"/>
    <w:rsid w:val="0DE9184E"/>
    <w:rsid w:val="0FB37347"/>
    <w:rsid w:val="109611B9"/>
    <w:rsid w:val="111807FE"/>
    <w:rsid w:val="120B7BE2"/>
    <w:rsid w:val="1302311F"/>
    <w:rsid w:val="132D27DF"/>
    <w:rsid w:val="141A488D"/>
    <w:rsid w:val="147211D0"/>
    <w:rsid w:val="148759AD"/>
    <w:rsid w:val="149253FF"/>
    <w:rsid w:val="16E96798"/>
    <w:rsid w:val="17CC70FE"/>
    <w:rsid w:val="184743D9"/>
    <w:rsid w:val="187B4AB8"/>
    <w:rsid w:val="187B5BF3"/>
    <w:rsid w:val="1DDA151B"/>
    <w:rsid w:val="1F5F475E"/>
    <w:rsid w:val="1F72056E"/>
    <w:rsid w:val="214B077B"/>
    <w:rsid w:val="23DC4E4B"/>
    <w:rsid w:val="25C93DBB"/>
    <w:rsid w:val="27676DAE"/>
    <w:rsid w:val="27AA7668"/>
    <w:rsid w:val="28DF530A"/>
    <w:rsid w:val="292F766C"/>
    <w:rsid w:val="29790ABB"/>
    <w:rsid w:val="2D122998"/>
    <w:rsid w:val="2D8305CE"/>
    <w:rsid w:val="2F5C246D"/>
    <w:rsid w:val="2FE37DD1"/>
    <w:rsid w:val="32701F68"/>
    <w:rsid w:val="33B20B2C"/>
    <w:rsid w:val="34904C1F"/>
    <w:rsid w:val="35686C87"/>
    <w:rsid w:val="35975332"/>
    <w:rsid w:val="364A5795"/>
    <w:rsid w:val="369474DF"/>
    <w:rsid w:val="36E21052"/>
    <w:rsid w:val="388127A4"/>
    <w:rsid w:val="388822E0"/>
    <w:rsid w:val="3A4A0C98"/>
    <w:rsid w:val="3ADE7B13"/>
    <w:rsid w:val="3B82520A"/>
    <w:rsid w:val="3E16093B"/>
    <w:rsid w:val="3FC96C79"/>
    <w:rsid w:val="40014ABD"/>
    <w:rsid w:val="40907B01"/>
    <w:rsid w:val="417479B3"/>
    <w:rsid w:val="42087F24"/>
    <w:rsid w:val="42B81890"/>
    <w:rsid w:val="43946EA8"/>
    <w:rsid w:val="44B80AE3"/>
    <w:rsid w:val="45952BD1"/>
    <w:rsid w:val="46995568"/>
    <w:rsid w:val="47EC741F"/>
    <w:rsid w:val="48A55F41"/>
    <w:rsid w:val="48E11081"/>
    <w:rsid w:val="49B41204"/>
    <w:rsid w:val="4ACB00B3"/>
    <w:rsid w:val="4DC96400"/>
    <w:rsid w:val="4DDA478A"/>
    <w:rsid w:val="4E3C51A6"/>
    <w:rsid w:val="4EA57F5B"/>
    <w:rsid w:val="4F475660"/>
    <w:rsid w:val="4F91042F"/>
    <w:rsid w:val="4FA77CEC"/>
    <w:rsid w:val="4FDD51EF"/>
    <w:rsid w:val="50962F12"/>
    <w:rsid w:val="520B6B20"/>
    <w:rsid w:val="534B409A"/>
    <w:rsid w:val="54A6047C"/>
    <w:rsid w:val="54C33BA9"/>
    <w:rsid w:val="54DA0EF3"/>
    <w:rsid w:val="555D099C"/>
    <w:rsid w:val="56BC619E"/>
    <w:rsid w:val="575F02D9"/>
    <w:rsid w:val="5922789C"/>
    <w:rsid w:val="5A0C5980"/>
    <w:rsid w:val="5A8F49B1"/>
    <w:rsid w:val="5ABF68F1"/>
    <w:rsid w:val="5D2748E5"/>
    <w:rsid w:val="5E89152F"/>
    <w:rsid w:val="5EEF528C"/>
    <w:rsid w:val="5FAC7A2F"/>
    <w:rsid w:val="613C578C"/>
    <w:rsid w:val="621253EA"/>
    <w:rsid w:val="62B17A6B"/>
    <w:rsid w:val="62BA202E"/>
    <w:rsid w:val="62E55633"/>
    <w:rsid w:val="635737F1"/>
    <w:rsid w:val="643C1BB8"/>
    <w:rsid w:val="64CC6AAA"/>
    <w:rsid w:val="650218B4"/>
    <w:rsid w:val="6595274A"/>
    <w:rsid w:val="66EE0896"/>
    <w:rsid w:val="68243590"/>
    <w:rsid w:val="68951A5F"/>
    <w:rsid w:val="68D311F0"/>
    <w:rsid w:val="6A8B4998"/>
    <w:rsid w:val="6CE8093E"/>
    <w:rsid w:val="6D921163"/>
    <w:rsid w:val="6EB16BDF"/>
    <w:rsid w:val="6F16174A"/>
    <w:rsid w:val="6FB94E90"/>
    <w:rsid w:val="70FB14A4"/>
    <w:rsid w:val="72A95B7A"/>
    <w:rsid w:val="74304FCC"/>
    <w:rsid w:val="75023CF6"/>
    <w:rsid w:val="77D61299"/>
    <w:rsid w:val="795D134B"/>
    <w:rsid w:val="7AD14C6A"/>
    <w:rsid w:val="7C8E1557"/>
    <w:rsid w:val="7E24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3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pPr>
    <w:rPr>
      <w:kern w:val="0"/>
      <w:sz w:val="20"/>
      <w:szCs w:val="20"/>
    </w:rPr>
  </w:style>
  <w:style w:type="paragraph" w:styleId="4">
    <w:name w:val="annotation text"/>
    <w:basedOn w:val="1"/>
    <w:link w:val="30"/>
    <w:semiHidden/>
    <w:unhideWhenUsed/>
    <w:qFormat/>
    <w:uiPriority w:val="99"/>
    <w:pPr>
      <w:jc w:val="left"/>
    </w:pPr>
  </w:style>
  <w:style w:type="paragraph" w:styleId="5">
    <w:name w:val="Body Text"/>
    <w:basedOn w:val="1"/>
    <w:link w:val="32"/>
    <w:unhideWhenUsed/>
    <w:qFormat/>
    <w:uiPriority w:val="99"/>
    <w:pPr>
      <w:spacing w:after="120"/>
    </w:pPr>
  </w:style>
  <w:style w:type="paragraph" w:styleId="6">
    <w:name w:val="Plain Text"/>
    <w:basedOn w:val="1"/>
    <w:next w:val="7"/>
    <w:link w:val="23"/>
    <w:unhideWhenUsed/>
    <w:qFormat/>
    <w:uiPriority w:val="0"/>
    <w:rPr>
      <w:rFonts w:ascii="宋体" w:hAnsi="Courier New"/>
    </w:rPr>
  </w:style>
  <w:style w:type="paragraph" w:styleId="7">
    <w:name w:val="Date"/>
    <w:basedOn w:val="1"/>
    <w:next w:val="1"/>
    <w:link w:val="24"/>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paragraph" w:styleId="12">
    <w:name w:val="annotation subject"/>
    <w:basedOn w:val="4"/>
    <w:next w:val="4"/>
    <w:link w:val="31"/>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basedOn w:val="15"/>
    <w:semiHidden/>
    <w:unhideWhenUsed/>
    <w:qFormat/>
    <w:uiPriority w:val="99"/>
    <w:rPr>
      <w:color w:val="0000FF"/>
      <w:u w:val="single"/>
    </w:rPr>
  </w:style>
  <w:style w:type="character" w:styleId="18">
    <w:name w:val="annotation reference"/>
    <w:basedOn w:val="15"/>
    <w:unhideWhenUsed/>
    <w:qFormat/>
    <w:uiPriority w:val="99"/>
    <w:rPr>
      <w:sz w:val="21"/>
      <w:szCs w:val="21"/>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批注框文本 Char"/>
    <w:basedOn w:val="15"/>
    <w:link w:val="8"/>
    <w:semiHidden/>
    <w:qFormat/>
    <w:uiPriority w:val="99"/>
    <w:rPr>
      <w:sz w:val="18"/>
      <w:szCs w:val="18"/>
    </w:rPr>
  </w:style>
  <w:style w:type="character" w:customStyle="1" w:styleId="23">
    <w:name w:val="纯文本 Char"/>
    <w:basedOn w:val="15"/>
    <w:link w:val="6"/>
    <w:qFormat/>
    <w:uiPriority w:val="0"/>
    <w:rPr>
      <w:rFonts w:ascii="宋体" w:hAnsi="Courier New"/>
      <w:kern w:val="2"/>
      <w:sz w:val="21"/>
      <w:szCs w:val="22"/>
    </w:rPr>
  </w:style>
  <w:style w:type="character" w:customStyle="1" w:styleId="24">
    <w:name w:val="日期 Char"/>
    <w:basedOn w:val="15"/>
    <w:link w:val="7"/>
    <w:semiHidden/>
    <w:qFormat/>
    <w:uiPriority w:val="99"/>
    <w:rPr>
      <w:kern w:val="2"/>
      <w:sz w:val="21"/>
      <w:szCs w:val="22"/>
    </w:rPr>
  </w:style>
  <w:style w:type="character" w:customStyle="1" w:styleId="25">
    <w:name w:val="font21"/>
    <w:basedOn w:val="15"/>
    <w:qFormat/>
    <w:uiPriority w:val="0"/>
    <w:rPr>
      <w:rFonts w:ascii="Calibri" w:hAnsi="Calibri" w:cs="Calibri"/>
      <w:color w:val="000000"/>
      <w:sz w:val="22"/>
      <w:szCs w:val="22"/>
      <w:u w:val="none"/>
    </w:rPr>
  </w:style>
  <w:style w:type="character" w:customStyle="1" w:styleId="26">
    <w:name w:val="font41"/>
    <w:basedOn w:val="15"/>
    <w:qFormat/>
    <w:uiPriority w:val="0"/>
    <w:rPr>
      <w:rFonts w:hint="eastAsia" w:ascii="宋体" w:hAnsi="宋体" w:eastAsia="宋体" w:cs="宋体"/>
      <w:color w:val="000000"/>
      <w:sz w:val="22"/>
      <w:szCs w:val="22"/>
      <w:u w:val="none"/>
    </w:rPr>
  </w:style>
  <w:style w:type="character" w:customStyle="1" w:styleId="27">
    <w:name w:val="font11"/>
    <w:basedOn w:val="15"/>
    <w:qFormat/>
    <w:uiPriority w:val="0"/>
    <w:rPr>
      <w:rFonts w:hint="default" w:ascii="Calibri" w:hAnsi="Calibri" w:cs="Calibri"/>
      <w:color w:val="000000"/>
      <w:sz w:val="22"/>
      <w:szCs w:val="22"/>
      <w:u w:val="none"/>
    </w:rPr>
  </w:style>
  <w:style w:type="character" w:customStyle="1" w:styleId="28">
    <w:name w:val="font01"/>
    <w:basedOn w:val="15"/>
    <w:qFormat/>
    <w:uiPriority w:val="0"/>
    <w:rPr>
      <w:rFonts w:hint="default" w:ascii="Calibri" w:hAnsi="Calibri" w:cs="Calibri"/>
      <w:color w:val="000000"/>
      <w:sz w:val="22"/>
      <w:szCs w:val="22"/>
      <w:u w:val="none"/>
    </w:rPr>
  </w:style>
  <w:style w:type="character" w:customStyle="1" w:styleId="29">
    <w:name w:val="font31"/>
    <w:basedOn w:val="15"/>
    <w:qFormat/>
    <w:uiPriority w:val="0"/>
    <w:rPr>
      <w:rFonts w:hint="eastAsia" w:ascii="宋体" w:hAnsi="宋体" w:eastAsia="宋体" w:cs="宋体"/>
      <w:color w:val="000000"/>
      <w:sz w:val="22"/>
      <w:szCs w:val="22"/>
      <w:u w:val="none"/>
    </w:rPr>
  </w:style>
  <w:style w:type="character" w:customStyle="1" w:styleId="30">
    <w:name w:val="批注文字 Char"/>
    <w:basedOn w:val="15"/>
    <w:link w:val="4"/>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2"/>
    <w:semiHidden/>
    <w:qFormat/>
    <w:uiPriority w:val="99"/>
    <w:rPr>
      <w:rFonts w:asciiTheme="minorHAnsi" w:hAnsiTheme="minorHAnsi" w:eastAsiaTheme="minorEastAsia" w:cstheme="minorBidi"/>
      <w:b/>
      <w:bCs/>
      <w:kern w:val="2"/>
      <w:sz w:val="21"/>
      <w:szCs w:val="22"/>
    </w:rPr>
  </w:style>
  <w:style w:type="character" w:customStyle="1" w:styleId="32">
    <w:name w:val="正文文本 Char"/>
    <w:basedOn w:val="15"/>
    <w:link w:val="5"/>
    <w:qFormat/>
    <w:uiPriority w:val="99"/>
    <w:rPr>
      <w:kern w:val="2"/>
      <w:sz w:val="21"/>
      <w:szCs w:val="22"/>
    </w:rPr>
  </w:style>
  <w:style w:type="character" w:customStyle="1" w:styleId="33">
    <w:name w:val="标题 3 Char"/>
    <w:basedOn w:val="15"/>
    <w:link w:val="2"/>
    <w:qFormat/>
    <w:uiPriority w:val="0"/>
    <w:rPr>
      <w:rFonts w:ascii="Times New Roman" w:hAnsi="Times New Roman" w:eastAsia="宋体" w:cs="Times New Roman"/>
      <w:b/>
      <w:bCs/>
      <w:kern w:val="2"/>
      <w:sz w:val="32"/>
      <w:szCs w:val="32"/>
    </w:rPr>
  </w:style>
  <w:style w:type="character" w:customStyle="1" w:styleId="34">
    <w:name w:val="纯文本 Char1"/>
    <w:qFormat/>
    <w:uiPriority w:val="0"/>
    <w:rPr>
      <w:rFonts w:ascii="宋体" w:hAnsi="Courier New"/>
      <w:szCs w:val="21"/>
    </w:rPr>
  </w:style>
  <w:style w:type="paragraph" w:customStyle="1" w:styleId="35">
    <w:name w:val="标题2"/>
    <w:basedOn w:val="1"/>
    <w:next w:val="1"/>
    <w:qFormat/>
    <w:uiPriority w:val="0"/>
    <w:pPr>
      <w:ind w:firstLine="0" w:firstLineChars="0"/>
      <w:outlineLvl w:val="1"/>
    </w:pPr>
    <w:rPr>
      <w:b/>
    </w:rPr>
  </w:style>
  <w:style w:type="paragraph" w:customStyle="1" w:styleId="36">
    <w:name w:val="标题3（文件格式）"/>
    <w:basedOn w:val="1"/>
    <w:next w:val="1"/>
    <w:qFormat/>
    <w:uiPriority w:val="0"/>
    <w:pPr>
      <w:spacing w:line="480" w:lineRule="exact"/>
      <w:ind w:firstLine="0" w:firstLineChars="0"/>
      <w:outlineLvl w:val="2"/>
    </w:pPr>
    <w:rPr>
      <w:rFonts w:hAnsi="宋体"/>
      <w:b/>
      <w:color w:val="000000"/>
      <w:sz w:val="30"/>
      <w:szCs w:val="44"/>
    </w:rPr>
  </w:style>
  <w:style w:type="paragraph" w:customStyle="1" w:styleId="37">
    <w:name w:val="Table Text"/>
    <w:basedOn w:val="1"/>
    <w:semiHidden/>
    <w:qFormat/>
    <w:uiPriority w:val="0"/>
    <w:rPr>
      <w:rFonts w:ascii="宋体" w:hAnsi="宋体" w:eastAsia="宋体" w:cs="宋体"/>
      <w:sz w:val="20"/>
      <w:szCs w:val="20"/>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8123</Words>
  <Characters>8561</Characters>
  <Lines>36</Lines>
  <Paragraphs>10</Paragraphs>
  <TotalTime>2</TotalTime>
  <ScaleCrop>false</ScaleCrop>
  <LinksUpToDate>false</LinksUpToDate>
  <CharactersWithSpaces>9827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2026-07-06T08:47:30Z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AEE702499B4B48A38E770AE900CB26C3</vt:lpwstr>
  </property>
  <property fmtid="{D5CDD505-2E9C-101B-9397-08002B2CF9AE}" pid="4" name="KSOTemplateDocerSaveRecord">
    <vt:lpwstr>eyJoZGlkIjoiMDQ0ZTdmOTFlZjc0OWU0NDhmMzA1YTM2NmI5MDg1MzIiLCJ1c2VySWQiOiI0MDk0NTEyMTIifQ==</vt:lpwstr>
  </property>
</Properties>
</file>