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B108F">
      <w:pPr>
        <w:numPr>
          <w:ilvl w:val="0"/>
          <w:numId w:val="0"/>
        </w:numPr>
        <w:spacing w:line="500" w:lineRule="exact"/>
        <w:jc w:val="center"/>
        <w:rPr>
          <w:rFonts w:hint="eastAsia"/>
          <w:b/>
          <w:sz w:val="36"/>
          <w:szCs w:val="36"/>
        </w:rPr>
      </w:pPr>
      <w:r>
        <w:rPr>
          <w:rFonts w:hint="eastAsia"/>
          <w:b/>
          <w:sz w:val="36"/>
          <w:szCs w:val="36"/>
        </w:rPr>
        <w:t>柳州职业技术大学2026年度零星工程造价咨询服务采购（重1）</w:t>
      </w:r>
    </w:p>
    <w:p w14:paraId="0B786AF0">
      <w:pPr>
        <w:numPr>
          <w:ilvl w:val="0"/>
          <w:numId w:val="0"/>
        </w:numPr>
        <w:spacing w:line="500" w:lineRule="exact"/>
        <w:jc w:val="center"/>
        <w:rPr>
          <w:rFonts w:ascii="宋体" w:hAnsi="宋体" w:cs="宋体"/>
          <w:sz w:val="21"/>
          <w:szCs w:val="21"/>
        </w:rPr>
      </w:pPr>
      <w:r>
        <w:rPr>
          <w:rFonts w:hint="eastAsia"/>
          <w:b/>
          <w:sz w:val="36"/>
          <w:szCs w:val="36"/>
          <w:lang w:val="en-US" w:eastAsia="zh-CN"/>
        </w:rPr>
        <w:t>项目</w:t>
      </w:r>
      <w:r>
        <w:rPr>
          <w:rFonts w:hint="eastAsia"/>
          <w:b/>
          <w:sz w:val="36"/>
          <w:szCs w:val="36"/>
        </w:rPr>
        <w:t>市场询价公告</w:t>
      </w:r>
    </w:p>
    <w:p w14:paraId="3E618F02">
      <w:pPr>
        <w:numPr>
          <w:ilvl w:val="0"/>
          <w:numId w:val="0"/>
        </w:numPr>
        <w:spacing w:line="500" w:lineRule="exact"/>
        <w:rPr>
          <w:rFonts w:ascii="宋体" w:hAnsi="宋体" w:cs="宋体"/>
          <w:sz w:val="24"/>
          <w:szCs w:val="24"/>
        </w:rPr>
      </w:pPr>
      <w:r>
        <w:rPr>
          <w:rFonts w:hint="eastAsia" w:ascii="宋体" w:hAnsi="宋体" w:cs="宋体" w:eastAsiaTheme="minorEastAsia"/>
          <w:kern w:val="2"/>
          <w:sz w:val="24"/>
          <w:szCs w:val="24"/>
          <w:lang w:val="en-US" w:eastAsia="zh-CN" w:bidi="ar-SA"/>
        </w:rPr>
        <w:t>一、</w:t>
      </w:r>
      <w:r>
        <w:rPr>
          <w:rFonts w:hint="eastAsia" w:ascii="宋体" w:hAnsi="宋体" w:cs="宋体"/>
          <w:sz w:val="24"/>
          <w:szCs w:val="24"/>
        </w:rPr>
        <w:t>项目名称：</w:t>
      </w:r>
      <w:r>
        <w:rPr>
          <w:rFonts w:hint="eastAsia" w:ascii="宋体" w:hAnsi="宋体" w:cs="宋体"/>
          <w:b/>
          <w:sz w:val="24"/>
          <w:szCs w:val="24"/>
        </w:rPr>
        <w:t>2026年度零星工程造价咨询服务采购</w:t>
      </w:r>
      <w:r>
        <w:rPr>
          <w:rFonts w:hint="eastAsia" w:ascii="宋体" w:hAnsi="宋体" w:cs="宋体"/>
          <w:b/>
          <w:sz w:val="24"/>
          <w:szCs w:val="24"/>
          <w:lang w:eastAsia="zh-CN"/>
        </w:rPr>
        <w:t>（</w:t>
      </w:r>
      <w:r>
        <w:rPr>
          <w:rFonts w:hint="eastAsia" w:ascii="宋体" w:hAnsi="宋体" w:cs="宋体"/>
          <w:b/>
          <w:sz w:val="24"/>
          <w:szCs w:val="24"/>
          <w:lang w:val="en-US" w:eastAsia="zh-CN"/>
        </w:rPr>
        <w:t>重1</w:t>
      </w:r>
      <w:r>
        <w:rPr>
          <w:rFonts w:hint="eastAsia" w:ascii="宋体" w:hAnsi="宋体" w:cs="宋体"/>
          <w:b/>
          <w:sz w:val="24"/>
          <w:szCs w:val="24"/>
          <w:lang w:eastAsia="zh-CN"/>
        </w:rPr>
        <w:t>）</w:t>
      </w:r>
    </w:p>
    <w:p w14:paraId="7809A7B3">
      <w:pPr>
        <w:numPr>
          <w:ilvl w:val="0"/>
          <w:numId w:val="0"/>
        </w:numPr>
        <w:spacing w:line="500" w:lineRule="exact"/>
        <w:rPr>
          <w:rFonts w:ascii="宋体" w:hAnsi="宋体" w:cs="宋体"/>
          <w:sz w:val="24"/>
          <w:szCs w:val="24"/>
        </w:rPr>
      </w:pPr>
      <w:r>
        <w:rPr>
          <w:rFonts w:hint="eastAsia" w:ascii="宋体" w:hAnsi="宋体" w:cs="宋体" w:eastAsiaTheme="minorEastAsia"/>
          <w:kern w:val="2"/>
          <w:sz w:val="24"/>
          <w:szCs w:val="24"/>
          <w:lang w:val="en-US" w:eastAsia="zh-CN" w:bidi="ar-SA"/>
        </w:rPr>
        <w:t>二、</w:t>
      </w:r>
      <w:r>
        <w:rPr>
          <w:rFonts w:hint="eastAsia" w:ascii="宋体" w:hAnsi="宋体" w:cs="宋体"/>
          <w:sz w:val="24"/>
          <w:szCs w:val="24"/>
        </w:rPr>
        <w:t>询价采购项目预算金额：（人民币大写）</w:t>
      </w:r>
      <w:r>
        <w:rPr>
          <w:rFonts w:hint="eastAsia" w:ascii="宋体" w:hAnsi="宋体" w:cs="宋体"/>
          <w:sz w:val="24"/>
          <w:szCs w:val="24"/>
          <w:lang w:val="en-US" w:eastAsia="zh-CN"/>
        </w:rPr>
        <w:t>肆</w:t>
      </w:r>
      <w:r>
        <w:rPr>
          <w:rFonts w:hint="eastAsia" w:ascii="宋体" w:hAnsi="宋体" w:cs="宋体"/>
          <w:sz w:val="24"/>
          <w:szCs w:val="24"/>
        </w:rPr>
        <w:t>万元整（¥</w:t>
      </w:r>
      <w:r>
        <w:rPr>
          <w:rFonts w:hint="eastAsia" w:ascii="宋体" w:hAnsi="宋体" w:cs="宋体"/>
          <w:sz w:val="24"/>
          <w:szCs w:val="24"/>
          <w:lang w:val="en-US" w:eastAsia="zh-CN"/>
        </w:rPr>
        <w:t>40000</w:t>
      </w:r>
      <w:r>
        <w:rPr>
          <w:rFonts w:hint="eastAsia" w:ascii="宋体" w:hAnsi="宋体" w:cs="宋体"/>
          <w:sz w:val="24"/>
          <w:szCs w:val="24"/>
        </w:rPr>
        <w:t>.00 ）</w:t>
      </w:r>
    </w:p>
    <w:p w14:paraId="09BBFA58">
      <w:pPr>
        <w:pStyle w:val="6"/>
        <w:rPr>
          <w:rFonts w:hint="eastAsia" w:ascii="宋体" w:hAnsi="宋体" w:cs="宋体"/>
          <w:sz w:val="24"/>
          <w:szCs w:val="24"/>
        </w:rPr>
      </w:pPr>
      <w:r>
        <w:rPr>
          <w:rFonts w:hint="eastAsia" w:ascii="宋体" w:hAnsi="宋体" w:cs="宋体"/>
          <w:sz w:val="24"/>
          <w:szCs w:val="24"/>
          <w:lang w:val="en-US" w:eastAsia="zh-CN"/>
        </w:rPr>
        <w:t>本项目</w:t>
      </w:r>
      <w:r>
        <w:rPr>
          <w:rFonts w:hint="eastAsia" w:ascii="宋体" w:hAnsi="宋体" w:cs="宋体"/>
          <w:sz w:val="24"/>
          <w:szCs w:val="24"/>
        </w:rPr>
        <w:t>按让利率报价，让利率最高者中标，合同签订之日起壹年（或合同金额执行完毕止）</w:t>
      </w:r>
    </w:p>
    <w:p w14:paraId="3CB045ED">
      <w:pPr>
        <w:numPr>
          <w:ilvl w:val="0"/>
          <w:numId w:val="0"/>
        </w:numPr>
        <w:spacing w:line="500" w:lineRule="exact"/>
        <w:rPr>
          <w:rFonts w:hint="eastAsia" w:ascii="宋体" w:hAnsi="宋体" w:cs="宋体"/>
          <w:sz w:val="24"/>
          <w:szCs w:val="24"/>
          <w:lang w:eastAsia="zh-CN"/>
        </w:rPr>
      </w:pPr>
      <w:r>
        <w:rPr>
          <w:rFonts w:hint="eastAsia" w:ascii="Arial" w:hAnsi="Arial" w:cs="Arial"/>
          <w:bCs/>
          <w:kern w:val="0"/>
          <w:sz w:val="24"/>
          <w:szCs w:val="28"/>
          <w:lang w:val="en-US" w:eastAsia="zh-CN" w:bidi="en-US"/>
        </w:rPr>
        <w:t>三、</w:t>
      </w:r>
      <w:r>
        <w:rPr>
          <w:rFonts w:hint="eastAsia" w:ascii="Arial" w:hAnsi="Arial" w:cs="Arial"/>
          <w:bCs/>
          <w:kern w:val="0"/>
          <w:sz w:val="24"/>
          <w:szCs w:val="28"/>
          <w:lang w:bidi="en-US"/>
        </w:rPr>
        <w:t>评标方法：最低评标价法</w:t>
      </w:r>
    </w:p>
    <w:p w14:paraId="6ECA11A2">
      <w:pPr>
        <w:numPr>
          <w:ilvl w:val="0"/>
          <w:numId w:val="0"/>
        </w:numPr>
        <w:spacing w:line="500" w:lineRule="exact"/>
        <w:rPr>
          <w:rFonts w:ascii="宋体" w:hAnsi="宋体"/>
          <w:sz w:val="24"/>
          <w:szCs w:val="24"/>
        </w:rPr>
      </w:pPr>
      <w:r>
        <w:rPr>
          <w:rFonts w:hint="eastAsia" w:ascii="宋体" w:hAnsi="宋体" w:cstheme="minorBidi"/>
          <w:kern w:val="2"/>
          <w:sz w:val="24"/>
          <w:szCs w:val="24"/>
          <w:lang w:val="en-US" w:eastAsia="zh-CN" w:bidi="ar-SA"/>
        </w:rPr>
        <w:t>四</w:t>
      </w:r>
      <w:r>
        <w:rPr>
          <w:rFonts w:hint="eastAsia" w:ascii="宋体" w:hAnsi="宋体" w:eastAsiaTheme="minorEastAsia" w:cstheme="minorBidi"/>
          <w:kern w:val="2"/>
          <w:sz w:val="24"/>
          <w:szCs w:val="24"/>
          <w:lang w:val="en-US" w:eastAsia="zh-CN" w:bidi="ar-SA"/>
        </w:rPr>
        <w:t>、</w:t>
      </w:r>
      <w:r>
        <w:rPr>
          <w:rFonts w:hint="eastAsia" w:ascii="宋体" w:hAnsi="宋体"/>
          <w:sz w:val="24"/>
          <w:szCs w:val="24"/>
        </w:rPr>
        <w:t>采购要求：</w:t>
      </w:r>
    </w:p>
    <w:p w14:paraId="04E96087">
      <w:pPr>
        <w:pStyle w:val="6"/>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9747" w:type="dxa"/>
        <w:tblInd w:w="0" w:type="dxa"/>
        <w:tblLayout w:type="fixed"/>
        <w:tblCellMar>
          <w:top w:w="0" w:type="dxa"/>
          <w:left w:w="108" w:type="dxa"/>
          <w:bottom w:w="0" w:type="dxa"/>
          <w:right w:w="108" w:type="dxa"/>
        </w:tblCellMar>
      </w:tblPr>
      <w:tblGrid>
        <w:gridCol w:w="412"/>
        <w:gridCol w:w="992"/>
        <w:gridCol w:w="6784"/>
        <w:gridCol w:w="709"/>
        <w:gridCol w:w="850"/>
      </w:tblGrid>
      <w:tr w14:paraId="46D298CB">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992" w:type="dxa"/>
            <w:tcBorders>
              <w:top w:val="single" w:color="auto" w:sz="4" w:space="0"/>
              <w:left w:val="nil"/>
              <w:bottom w:val="single" w:color="auto" w:sz="4" w:space="0"/>
              <w:right w:val="single" w:color="auto" w:sz="4" w:space="0"/>
            </w:tcBorders>
            <w:vAlign w:val="center"/>
          </w:tcPr>
          <w:p w14:paraId="7D268E91">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名称</w:t>
            </w:r>
          </w:p>
        </w:tc>
        <w:tc>
          <w:tcPr>
            <w:tcW w:w="6784" w:type="dxa"/>
            <w:tcBorders>
              <w:top w:val="single" w:color="auto" w:sz="4" w:space="0"/>
              <w:left w:val="nil"/>
              <w:bottom w:val="single" w:color="auto" w:sz="4" w:space="0"/>
              <w:right w:val="single" w:color="auto" w:sz="4" w:space="0"/>
            </w:tcBorders>
            <w:vAlign w:val="center"/>
          </w:tcPr>
          <w:p w14:paraId="1704C5A6">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14:paraId="79EA0FB8">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cs="宋体"/>
                <w:b w:val="0"/>
                <w:bCs w:val="0"/>
                <w:color w:val="000000"/>
                <w:kern w:val="0"/>
                <w:sz w:val="22"/>
                <w:szCs w:val="22"/>
              </w:rPr>
            </w:pPr>
            <w:r>
              <w:rPr>
                <w:rFonts w:hint="eastAsia" w:cs="宋体" w:asciiTheme="minorEastAsia" w:hAnsiTheme="minorEastAsia"/>
                <w:b w:val="0"/>
                <w:bCs w:val="0"/>
                <w:color w:val="000000"/>
                <w:kern w:val="0"/>
                <w:sz w:val="22"/>
                <w:szCs w:val="22"/>
              </w:rPr>
              <w:t>1</w:t>
            </w:r>
          </w:p>
        </w:tc>
        <w:tc>
          <w:tcPr>
            <w:tcW w:w="992" w:type="dxa"/>
            <w:tcBorders>
              <w:top w:val="single" w:color="auto" w:sz="4" w:space="0"/>
              <w:left w:val="nil"/>
              <w:bottom w:val="single" w:color="auto" w:sz="4" w:space="0"/>
              <w:right w:val="single" w:color="auto" w:sz="4" w:space="0"/>
            </w:tcBorders>
            <w:vAlign w:val="top"/>
          </w:tcPr>
          <w:p w14:paraId="13E941B7">
            <w:pPr>
              <w:widowControl/>
              <w:jc w:val="both"/>
              <w:rPr>
                <w:rFonts w:hint="eastAsia" w:ascii="宋体" w:hAnsi="宋体" w:cs="宋体"/>
                <w:b w:val="0"/>
                <w:bCs w:val="0"/>
                <w:color w:val="000000"/>
                <w:kern w:val="0"/>
                <w:sz w:val="22"/>
                <w:szCs w:val="22"/>
              </w:rPr>
            </w:pPr>
            <w:r>
              <w:rPr>
                <w:rFonts w:hint="eastAsia" w:ascii="宋体" w:hAnsi="宋体" w:cs="宋体"/>
                <w:b w:val="0"/>
                <w:bCs w:val="0"/>
                <w:sz w:val="24"/>
                <w:szCs w:val="24"/>
              </w:rPr>
              <w:t>2026年度零星工程造价咨询服务</w:t>
            </w:r>
          </w:p>
        </w:tc>
        <w:tc>
          <w:tcPr>
            <w:tcW w:w="6784" w:type="dxa"/>
            <w:tcBorders>
              <w:top w:val="single" w:color="auto" w:sz="4" w:space="0"/>
              <w:left w:val="nil"/>
              <w:bottom w:val="single" w:color="auto" w:sz="4" w:space="0"/>
              <w:right w:val="single" w:color="auto" w:sz="4" w:space="0"/>
            </w:tcBorders>
            <w:vAlign w:val="center"/>
          </w:tcPr>
          <w:p w14:paraId="6AF5D168">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一、项目服务地点及内容范围</w:t>
            </w:r>
          </w:p>
          <w:p w14:paraId="5A193E5C">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柳州职业技术大学社湾、官塘两个校区内</w:t>
            </w:r>
            <w:r>
              <w:rPr>
                <w:rFonts w:hint="default" w:cs="Arial" w:asciiTheme="majorEastAsia" w:hAnsiTheme="majorEastAsia" w:eastAsiaTheme="majorEastAsia"/>
                <w:kern w:val="0"/>
                <w:sz w:val="21"/>
                <w:szCs w:val="21"/>
                <w:lang w:val="en-US" w:eastAsia="zh-CN"/>
              </w:rPr>
              <w:t>各区域</w:t>
            </w:r>
            <w:r>
              <w:rPr>
                <w:rFonts w:hint="eastAsia" w:cs="Arial" w:asciiTheme="majorEastAsia" w:hAnsiTheme="majorEastAsia" w:eastAsiaTheme="majorEastAsia"/>
                <w:kern w:val="0"/>
                <w:sz w:val="21"/>
                <w:szCs w:val="21"/>
                <w:lang w:val="en-US" w:eastAsia="zh-CN"/>
              </w:rPr>
              <w:t>；服务范围：教学楼、宿舍、食堂、操场等建筑及附属设施的修缮、装修、改造工程；水电管网、消防设施、智能化设备等零星安装工程；绿化景观、道路铺装等校园环境零星工程项目的前期造价咨询服务；</w:t>
            </w:r>
          </w:p>
          <w:p w14:paraId="0BDD1611">
            <w:pPr>
              <w:numPr>
                <w:ilvl w:val="0"/>
                <w:numId w:val="1"/>
              </w:numPr>
              <w:ind w:leftChars="0"/>
              <w:jc w:val="left"/>
              <w:rPr>
                <w:rFonts w:hint="eastAsia"/>
              </w:rPr>
            </w:pPr>
            <w:r>
              <w:rPr>
                <w:rFonts w:hint="eastAsia" w:ascii="宋体" w:hAnsi="宋体" w:eastAsia="宋体" w:cs="Times New Roman"/>
                <w:b w:val="0"/>
                <w:bCs w:val="0"/>
                <w:kern w:val="2"/>
                <w:sz w:val="21"/>
                <w:szCs w:val="21"/>
                <w:lang w:val="en-US" w:eastAsia="zh-CN" w:bidi="ar-SA"/>
              </w:rPr>
              <w:t>报价形式</w:t>
            </w:r>
          </w:p>
          <w:p w14:paraId="1BBBFA75">
            <w:pPr>
              <w:widowControl/>
              <w:numPr>
                <w:ilvl w:val="0"/>
                <w:numId w:val="0"/>
              </w:numPr>
              <w:adjustRightInd w:val="0"/>
              <w:snapToGrid w:val="0"/>
              <w:spacing w:line="520" w:lineRule="exact"/>
              <w:ind w:firstLine="422" w:firstLineChars="200"/>
              <w:jc w:val="left"/>
              <w:rPr>
                <w:rFonts w:hint="eastAsia" w:asciiTheme="majorEastAsia" w:hAnsiTheme="majorEastAsia" w:eastAsiaTheme="majorEastAsia"/>
                <w:highlight w:val="none"/>
                <w:lang w:val="en-US" w:eastAsia="zh-CN"/>
              </w:rPr>
            </w:pPr>
            <w:r>
              <w:rPr>
                <w:rFonts w:hint="eastAsia" w:ascii="宋体" w:hAnsi="宋体" w:cs="宋体"/>
                <w:b/>
                <w:bCs w:val="0"/>
                <w:szCs w:val="21"/>
                <w:highlight w:val="none"/>
              </w:rPr>
              <w:t>报价按让利率报价，</w:t>
            </w:r>
            <w:r>
              <w:rPr>
                <w:rFonts w:hint="eastAsia"/>
                <w:b/>
                <w:bCs w:val="0"/>
                <w:highlight w:val="none"/>
                <w:lang w:val="en-US" w:eastAsia="zh-CN"/>
              </w:rPr>
              <w:t>让利率报价不得低于18%，</w:t>
            </w:r>
            <w:r>
              <w:rPr>
                <w:rFonts w:hint="eastAsia" w:ascii="宋体" w:hAnsi="宋体" w:cs="宋体"/>
                <w:b/>
                <w:bCs w:val="0"/>
                <w:szCs w:val="21"/>
                <w:highlight w:val="none"/>
              </w:rPr>
              <w:t>让利率最高者中标</w:t>
            </w:r>
            <w:r>
              <w:rPr>
                <w:rFonts w:hint="eastAsia" w:ascii="宋体" w:hAnsi="宋体" w:cs="宋体"/>
                <w:bCs/>
                <w:szCs w:val="21"/>
                <w:highlight w:val="none"/>
              </w:rPr>
              <w:t>。</w:t>
            </w:r>
            <w:r>
              <w:rPr>
                <w:rFonts w:hint="eastAsia" w:asciiTheme="majorEastAsia" w:hAnsiTheme="majorEastAsia" w:eastAsiaTheme="majorEastAsia"/>
                <w:highlight w:val="none"/>
              </w:rPr>
              <w:t>合同签订之日起</w:t>
            </w:r>
            <w:r>
              <w:rPr>
                <w:rFonts w:hint="eastAsia" w:asciiTheme="majorEastAsia" w:hAnsiTheme="majorEastAsia" w:eastAsiaTheme="majorEastAsia"/>
                <w:highlight w:val="none"/>
                <w:lang w:val="en-US" w:eastAsia="zh-CN"/>
              </w:rPr>
              <w:t>一</w:t>
            </w:r>
            <w:r>
              <w:rPr>
                <w:rFonts w:hint="eastAsia" w:asciiTheme="majorEastAsia" w:hAnsiTheme="majorEastAsia" w:eastAsiaTheme="majorEastAsia"/>
                <w:highlight w:val="none"/>
              </w:rPr>
              <w:t>年（或合同金额执行完毕止）</w:t>
            </w:r>
            <w:r>
              <w:rPr>
                <w:rFonts w:hint="eastAsia" w:ascii="宋体" w:hAnsi="宋体" w:eastAsiaTheme="majorEastAsia"/>
                <w:szCs w:val="21"/>
                <w:highlight w:val="none"/>
                <w:lang w:eastAsia="zh-CN"/>
              </w:rPr>
              <w:t>，</w:t>
            </w:r>
            <w:r>
              <w:rPr>
                <w:rFonts w:hint="eastAsia" w:ascii="宋体" w:hAnsi="宋体"/>
                <w:szCs w:val="21"/>
                <w:highlight w:val="none"/>
              </w:rPr>
              <w:t>总结算金额</w:t>
            </w:r>
            <w:r>
              <w:rPr>
                <w:rFonts w:hint="eastAsia" w:ascii="宋体" w:hAnsi="宋体"/>
                <w:szCs w:val="21"/>
                <w:highlight w:val="none"/>
                <w:lang w:val="en-US" w:eastAsia="zh-CN"/>
              </w:rPr>
              <w:t>上限</w:t>
            </w:r>
            <w:r>
              <w:rPr>
                <w:rFonts w:hint="eastAsia" w:ascii="宋体" w:hAnsi="宋体"/>
                <w:szCs w:val="21"/>
                <w:highlight w:val="none"/>
              </w:rPr>
              <w:t>不超过</w:t>
            </w:r>
            <w:r>
              <w:rPr>
                <w:rFonts w:hint="eastAsia" w:asciiTheme="majorEastAsia" w:hAnsiTheme="majorEastAsia" w:eastAsiaTheme="majorEastAsia"/>
                <w:highlight w:val="none"/>
                <w:lang w:val="en-US" w:eastAsia="zh-CN"/>
              </w:rPr>
              <w:t>4万元。</w:t>
            </w:r>
          </w:p>
          <w:p w14:paraId="57339E1E">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三、</w:t>
            </w:r>
            <w:r>
              <w:rPr>
                <w:rFonts w:hint="default" w:cs="Arial" w:asciiTheme="majorEastAsia" w:hAnsiTheme="majorEastAsia" w:eastAsiaTheme="majorEastAsia"/>
                <w:kern w:val="0"/>
                <w:sz w:val="21"/>
                <w:szCs w:val="21"/>
                <w:lang w:val="en-US" w:eastAsia="zh-CN"/>
              </w:rPr>
              <w:t>服务内容与技术要求</w:t>
            </w:r>
          </w:p>
          <w:p w14:paraId="6DE7D203">
            <w:pPr>
              <w:widowControl/>
              <w:numPr>
                <w:ilvl w:val="0"/>
                <w:numId w:val="0"/>
              </w:numPr>
              <w:adjustRightInd w:val="0"/>
              <w:snapToGrid w:val="0"/>
              <w:spacing w:line="520" w:lineRule="exact"/>
              <w:jc w:val="left"/>
              <w:rPr>
                <w:rFonts w:hint="eastAsia" w:asciiTheme="majorEastAsia" w:hAnsiTheme="majorEastAsia" w:eastAsiaTheme="majorEastAsia"/>
                <w:highlight w:val="none"/>
                <w:lang w:val="en-US" w:eastAsia="zh-CN"/>
              </w:rPr>
            </w:pPr>
            <w:r>
              <w:rPr>
                <w:rFonts w:hint="eastAsia" w:cs="Arial" w:asciiTheme="majorEastAsia" w:hAnsiTheme="majorEastAsia" w:eastAsiaTheme="majorEastAsia"/>
                <w:kern w:val="0"/>
                <w:sz w:val="21"/>
                <w:szCs w:val="21"/>
                <w:lang w:val="en-US" w:eastAsia="zh-CN"/>
              </w:rPr>
              <w:t>1.</w:t>
            </w:r>
            <w:r>
              <w:rPr>
                <w:rFonts w:hint="eastAsia" w:asciiTheme="majorEastAsia" w:hAnsiTheme="majorEastAsia" w:eastAsiaTheme="majorEastAsia"/>
                <w:highlight w:val="none"/>
                <w:lang w:val="en-US" w:eastAsia="zh-CN"/>
              </w:rPr>
              <w:t>服务内容包含现场实地核量、踏勘取证、工程量清单编制、招标控制价编制、主材市场询价、成果校对、配合甲方及上级部门审核、答疑修正、资料归档等全过程服务。</w:t>
            </w:r>
          </w:p>
          <w:p w14:paraId="1AF07398">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2.编制要求:按照国家、自治区及柳州市有关规定及政策，达到国家及有关业务主管部门的要求和深度，出具编制成果。</w:t>
            </w:r>
          </w:p>
          <w:p w14:paraId="7CE9D049">
            <w:pPr>
              <w:spacing w:line="360" w:lineRule="auto"/>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3.编制方式:报价人根据《建设工程工程量清单计价规范》GB50500-2013（如有更新按最新版执行），完成施工图纸范围内的工程量清单及控制价(或标底)的编制工作。</w:t>
            </w:r>
          </w:p>
          <w:p w14:paraId="39A88829">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工程量清单及控制价(或标底)的编制时限要求：</w:t>
            </w:r>
          </w:p>
          <w:tbl>
            <w:tblPr>
              <w:tblStyle w:val="13"/>
              <w:tblW w:w="6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2085"/>
              <w:gridCol w:w="2355"/>
            </w:tblGrid>
            <w:tr w14:paraId="5C92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99" w:type="dxa"/>
                  <w:tcBorders>
                    <w:top w:val="single" w:color="auto" w:sz="4" w:space="0"/>
                    <w:left w:val="single" w:color="auto" w:sz="4" w:space="0"/>
                    <w:bottom w:val="single" w:color="auto" w:sz="4" w:space="0"/>
                    <w:right w:val="single" w:color="auto" w:sz="4" w:space="0"/>
                  </w:tcBorders>
                </w:tcPr>
                <w:p w14:paraId="63BE29FD">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中标供应商签收项目资料到完成编制提交采购方复核的完成时限</w:t>
                  </w:r>
                </w:p>
              </w:tc>
              <w:tc>
                <w:tcPr>
                  <w:tcW w:w="2085" w:type="dxa"/>
                  <w:tcBorders>
                    <w:top w:val="single" w:color="auto" w:sz="4" w:space="0"/>
                    <w:left w:val="single" w:color="auto" w:sz="4" w:space="0"/>
                    <w:bottom w:val="single" w:color="auto" w:sz="4" w:space="0"/>
                    <w:right w:val="single" w:color="auto" w:sz="4" w:space="0"/>
                  </w:tcBorders>
                </w:tcPr>
                <w:p w14:paraId="36819FBD">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中标供应商收到采购方反馈复核意见后修改的完成时限</w:t>
                  </w:r>
                </w:p>
              </w:tc>
              <w:tc>
                <w:tcPr>
                  <w:tcW w:w="2355" w:type="dxa"/>
                  <w:tcBorders>
                    <w:top w:val="single" w:color="auto" w:sz="4" w:space="0"/>
                    <w:left w:val="single" w:color="auto" w:sz="4" w:space="0"/>
                    <w:bottom w:val="single" w:color="auto" w:sz="4" w:space="0"/>
                    <w:right w:val="single" w:color="auto" w:sz="4" w:space="0"/>
                  </w:tcBorders>
                </w:tcPr>
                <w:p w14:paraId="24A06ECD">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中标供应商提交项目工程量清单和招标控制价编制成果资料的完成时限</w:t>
                  </w:r>
                </w:p>
              </w:tc>
            </w:tr>
            <w:tr w14:paraId="32F9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299" w:type="dxa"/>
                  <w:tcBorders>
                    <w:top w:val="single" w:color="auto" w:sz="4" w:space="0"/>
                    <w:left w:val="single" w:color="auto" w:sz="4" w:space="0"/>
                    <w:bottom w:val="single" w:color="auto" w:sz="4" w:space="0"/>
                    <w:right w:val="single" w:color="auto" w:sz="4" w:space="0"/>
                  </w:tcBorders>
                  <w:vAlign w:val="center"/>
                </w:tcPr>
                <w:p w14:paraId="1C1DE637">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7日历天</w:t>
                  </w:r>
                </w:p>
              </w:tc>
              <w:tc>
                <w:tcPr>
                  <w:tcW w:w="2085" w:type="dxa"/>
                  <w:tcBorders>
                    <w:top w:val="single" w:color="auto" w:sz="4" w:space="0"/>
                    <w:left w:val="single" w:color="auto" w:sz="4" w:space="0"/>
                    <w:bottom w:val="single" w:color="auto" w:sz="4" w:space="0"/>
                    <w:right w:val="single" w:color="auto" w:sz="4" w:space="0"/>
                  </w:tcBorders>
                  <w:vAlign w:val="center"/>
                </w:tcPr>
                <w:p w14:paraId="5E214B16">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3日历天</w:t>
                  </w:r>
                </w:p>
              </w:tc>
              <w:tc>
                <w:tcPr>
                  <w:tcW w:w="2355" w:type="dxa"/>
                  <w:tcBorders>
                    <w:top w:val="single" w:color="auto" w:sz="4" w:space="0"/>
                    <w:left w:val="single" w:color="auto" w:sz="4" w:space="0"/>
                    <w:bottom w:val="single" w:color="auto" w:sz="4" w:space="0"/>
                    <w:right w:val="single" w:color="auto" w:sz="4" w:space="0"/>
                  </w:tcBorders>
                  <w:vAlign w:val="center"/>
                </w:tcPr>
                <w:p w14:paraId="40B6E6D1">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2日历天</w:t>
                  </w:r>
                </w:p>
              </w:tc>
            </w:tr>
          </w:tbl>
          <w:p w14:paraId="6A488339">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rPr>
              <w:t>4.成果资料质量要求：符</w:t>
            </w:r>
            <w:r>
              <w:rPr>
                <w:rFonts w:hint="eastAsia" w:cs="Arial" w:asciiTheme="majorEastAsia" w:hAnsiTheme="majorEastAsia" w:eastAsiaTheme="majorEastAsia"/>
                <w:kern w:val="0"/>
                <w:sz w:val="21"/>
                <w:szCs w:val="21"/>
                <w:lang w:val="en-US" w:eastAsia="zh-CN"/>
              </w:rPr>
              <w:t>合《广西壮族自治区建设工程造价管理办法》桂政府令第 43 号规定的合格标准，并经双方签字认可。纸质资料一式四份并按要求签章确认，同时需提供电子档资料一式两份用U盘或移动硬盘拷贝后交付给采购人，U盘或移动硬盘（必须是带原厂正规包装且原厂质保期不低于三年，接口为USB3.0及以上），否则不予接收。</w:t>
            </w:r>
          </w:p>
          <w:p w14:paraId="5F647548">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5.人员配备及其他要求：</w:t>
            </w:r>
          </w:p>
          <w:p w14:paraId="275EFBC5">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highlight w:val="none"/>
                <w:lang w:val="en-US" w:eastAsia="zh-CN"/>
              </w:rPr>
              <w:t>（1）</w:t>
            </w:r>
            <w:r>
              <w:rPr>
                <w:rFonts w:hint="eastAsia" w:cs="Arial" w:asciiTheme="majorEastAsia" w:hAnsiTheme="majorEastAsia" w:eastAsiaTheme="majorEastAsia"/>
                <w:kern w:val="0"/>
                <w:sz w:val="21"/>
                <w:szCs w:val="21"/>
                <w:lang w:val="en-US" w:eastAsia="zh-CN"/>
              </w:rPr>
              <w:t>报价单位具备住建部门核发的工程造价咨询乙级及以上资质，且在有效期内。</w:t>
            </w:r>
          </w:p>
          <w:p w14:paraId="24B58B9C">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（2）拟投入服务人员</w:t>
            </w:r>
          </w:p>
          <w:p w14:paraId="0466CDE5">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①</w:t>
            </w:r>
            <w:r>
              <w:rPr>
                <w:rFonts w:hint="eastAsia" w:cs="Arial" w:asciiTheme="majorEastAsia" w:hAnsiTheme="majorEastAsia" w:eastAsiaTheme="majorEastAsia"/>
                <w:kern w:val="0"/>
                <w:sz w:val="21"/>
                <w:szCs w:val="21"/>
                <w:lang w:val="en-US" w:eastAsia="zh-CN"/>
              </w:rPr>
              <w:t>项目负责人</w:t>
            </w:r>
          </w:p>
          <w:p w14:paraId="2EA08994">
            <w:pPr>
              <w:widowControl/>
              <w:numPr>
                <w:ilvl w:val="0"/>
                <w:numId w:val="0"/>
              </w:numPr>
              <w:adjustRightInd w:val="0"/>
              <w:snapToGrid w:val="0"/>
              <w:spacing w:line="520" w:lineRule="exact"/>
              <w:jc w:val="left"/>
              <w:rPr>
                <w:rFonts w:hint="default" w:ascii="Calibri" w:hAnsi="Calibri" w:cs="Calibri" w:eastAsiaTheme="majorEastAsia"/>
                <w:kern w:val="0"/>
                <w:sz w:val="21"/>
                <w:szCs w:val="21"/>
                <w:lang w:val="en-US" w:eastAsia="zh-CN"/>
              </w:rPr>
            </w:pPr>
            <w:r>
              <w:rPr>
                <w:rFonts w:hint="default" w:ascii="Calibri" w:hAnsi="Calibri" w:cs="Calibri" w:eastAsiaTheme="majorEastAsia"/>
                <w:kern w:val="0"/>
                <w:sz w:val="21"/>
                <w:szCs w:val="21"/>
                <w:lang w:val="en-US" w:eastAsia="zh-CN"/>
              </w:rPr>
              <w:t>本项目负责人须为</w:t>
            </w:r>
            <w:r>
              <w:rPr>
                <w:rFonts w:hint="eastAsia" w:ascii="Calibri" w:hAnsi="Calibri" w:cs="Calibri" w:eastAsiaTheme="majorEastAsia"/>
                <w:kern w:val="0"/>
                <w:sz w:val="21"/>
                <w:szCs w:val="21"/>
                <w:lang w:val="en-US" w:eastAsia="zh-CN"/>
              </w:rPr>
              <w:t>报价</w:t>
            </w:r>
            <w:r>
              <w:rPr>
                <w:rFonts w:hint="default" w:ascii="Calibri" w:hAnsi="Calibri" w:cs="Calibri" w:eastAsiaTheme="majorEastAsia"/>
                <w:kern w:val="0"/>
                <w:sz w:val="21"/>
                <w:szCs w:val="21"/>
                <w:lang w:val="en-US" w:eastAsia="zh-CN"/>
              </w:rPr>
              <w:t>单位在职在册人员，持有一级造价工程师（土木建筑工程专业）注册证书，人证合一，无挂靠、外聘情况。</w:t>
            </w:r>
          </w:p>
          <w:p w14:paraId="33533A22">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②</w:t>
            </w:r>
            <w:r>
              <w:rPr>
                <w:rFonts w:hint="eastAsia" w:cs="Arial" w:asciiTheme="majorEastAsia" w:hAnsiTheme="majorEastAsia" w:eastAsiaTheme="majorEastAsia"/>
                <w:kern w:val="0"/>
                <w:sz w:val="21"/>
                <w:szCs w:val="21"/>
                <w:lang w:val="en-US" w:eastAsia="zh-CN"/>
              </w:rPr>
              <w:t>团队总人数不少于3人（含负责人）按专业配备人员：至少包含土建、安装（给排水 / 电气 / 暖通）专业注册造价工程师或造价员（提供造价工程师注册证书或造价员证等，无挂靠、外聘情况）。同时须在报价文件中提供书面服务承诺，如零星工程涉及消防、园林、钢构等原团队中没有的专业时，须及时调配相关专业人员进行协作。</w:t>
            </w:r>
          </w:p>
          <w:p w14:paraId="1FC9D76C">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（3）</w:t>
            </w:r>
            <w:r>
              <w:rPr>
                <w:rFonts w:hint="default" w:cs="Arial" w:asciiTheme="majorEastAsia" w:hAnsiTheme="majorEastAsia" w:eastAsiaTheme="majorEastAsia"/>
                <w:kern w:val="0"/>
                <w:sz w:val="21"/>
                <w:szCs w:val="21"/>
                <w:lang w:val="en-US" w:eastAsia="zh-CN"/>
              </w:rPr>
              <w:t>服务响应保障要求</w:t>
            </w:r>
          </w:p>
          <w:p w14:paraId="302F85AA">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①</w:t>
            </w:r>
            <w:r>
              <w:rPr>
                <w:rFonts w:hint="eastAsia" w:cs="Arial" w:asciiTheme="majorEastAsia" w:hAnsiTheme="majorEastAsia" w:eastAsiaTheme="majorEastAsia"/>
                <w:kern w:val="0"/>
                <w:sz w:val="21"/>
                <w:szCs w:val="21"/>
                <w:lang w:val="en-US" w:eastAsia="zh-CN"/>
              </w:rPr>
              <w:t>接到</w:t>
            </w:r>
            <w:r>
              <w:rPr>
                <w:rFonts w:hint="default" w:cs="Arial" w:asciiTheme="majorEastAsia" w:hAnsiTheme="majorEastAsia" w:eastAsiaTheme="majorEastAsia"/>
                <w:kern w:val="0"/>
                <w:sz w:val="21"/>
                <w:szCs w:val="21"/>
                <w:lang w:val="en-US" w:eastAsia="zh-CN"/>
              </w:rPr>
              <w:t>采购人服务委托指令后，2小时内完成线上响应对接，明确工作安排及到场人员；</w:t>
            </w:r>
          </w:p>
          <w:p w14:paraId="31EB0A65">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②</w:t>
            </w:r>
            <w:r>
              <w:rPr>
                <w:rFonts w:hint="default" w:cs="Arial" w:asciiTheme="majorEastAsia" w:hAnsiTheme="majorEastAsia" w:eastAsiaTheme="majorEastAsia"/>
                <w:kern w:val="0"/>
                <w:sz w:val="21"/>
                <w:szCs w:val="21"/>
                <w:lang w:val="en-US" w:eastAsia="zh-CN"/>
              </w:rPr>
              <w:t>常规零星项目4小时内安排持证造价人员抵达柳州项目现场，完成实地踏勘、现场核量、尺寸复核、工况确认，严禁仅凭图纸、资料闭门编制成果；</w:t>
            </w:r>
          </w:p>
          <w:p w14:paraId="0D0417DE">
            <w:pPr>
              <w:widowControl/>
              <w:numPr>
                <w:ilvl w:val="0"/>
                <w:numId w:val="2"/>
              </w:numPr>
              <w:adjustRightInd w:val="0"/>
              <w:snapToGrid w:val="0"/>
              <w:spacing w:line="520" w:lineRule="exact"/>
              <w:jc w:val="left"/>
              <w:rPr>
                <w:rFonts w:hint="eastAsia"/>
              </w:rPr>
            </w:pPr>
            <w:r>
              <w:rPr>
                <w:rFonts w:hint="eastAsia"/>
              </w:rPr>
              <w:t>如</w:t>
            </w:r>
            <w:r>
              <w:rPr>
                <w:rFonts w:hint="eastAsia"/>
                <w:lang w:val="en-US" w:eastAsia="zh-CN"/>
              </w:rPr>
              <w:t>报价人</w:t>
            </w:r>
            <w:r>
              <w:rPr>
                <w:rFonts w:hint="eastAsia"/>
              </w:rPr>
              <w:t>更换工作人员需提前一周通知</w:t>
            </w:r>
            <w:r>
              <w:rPr>
                <w:rFonts w:hint="eastAsia"/>
                <w:lang w:val="en-US" w:eastAsia="zh-CN"/>
              </w:rPr>
              <w:t>采购</w:t>
            </w:r>
            <w:r>
              <w:rPr>
                <w:rFonts w:hint="eastAsia"/>
              </w:rPr>
              <w:t>人，并出具书面报告（附变更人员身份证复印件及联系电话）加盖单位公章；</w:t>
            </w:r>
          </w:p>
          <w:p w14:paraId="1D879A00">
            <w:pPr>
              <w:widowControl/>
              <w:numPr>
                <w:ilvl w:val="0"/>
                <w:numId w:val="0"/>
              </w:numPr>
              <w:adjustRightInd w:val="0"/>
              <w:snapToGrid w:val="0"/>
              <w:spacing w:line="520" w:lineRule="exact"/>
              <w:jc w:val="left"/>
              <w:rPr>
                <w:rFonts w:hint="default" w:ascii="宋体" w:hAnsi="宋体" w:cs="宋体"/>
                <w:b w:val="0"/>
                <w:bCs w:val="0"/>
                <w:color w:val="000000"/>
                <w:kern w:val="0"/>
                <w:sz w:val="22"/>
                <w:szCs w:val="22"/>
                <w:lang w:val="en-US"/>
              </w:rPr>
            </w:pPr>
            <w:r>
              <w:rPr>
                <w:rFonts w:hint="eastAsia"/>
                <w:b/>
                <w:bCs/>
                <w:highlight w:val="none"/>
                <w:lang w:val="en-US" w:eastAsia="zh-CN"/>
              </w:rPr>
              <w:t>报价时提供以上证书高清复印件、截止报价之日前连续3个月在该单位社保证明文件材料以及以上内容的书面服务承诺（格式自拟），均需加盖公章。提供材料不全或未提供则视为报价无效，如因提供材料不清晰导致被误读、漏读或者查找不到相关内容的，由此引发的后果由报价人自行承担。</w:t>
            </w:r>
          </w:p>
        </w:tc>
        <w:tc>
          <w:tcPr>
            <w:tcW w:w="709" w:type="dxa"/>
            <w:tcBorders>
              <w:top w:val="single" w:color="auto" w:sz="4" w:space="0"/>
              <w:left w:val="single" w:color="auto" w:sz="4" w:space="0"/>
              <w:bottom w:val="single" w:color="auto" w:sz="4" w:space="0"/>
              <w:right w:val="single" w:color="auto" w:sz="4" w:space="0"/>
            </w:tcBorders>
            <w:vAlign w:val="center"/>
          </w:tcPr>
          <w:p w14:paraId="49F53883">
            <w:pPr>
              <w:widowControl/>
              <w:jc w:val="center"/>
              <w:rPr>
                <w:rFonts w:hint="eastAsia" w:ascii="宋体" w:hAnsi="宋体" w:cs="宋体" w:eastAsiaTheme="minorEastAsia"/>
                <w:b w:val="0"/>
                <w:bCs w:val="0"/>
                <w:color w:val="000000"/>
                <w:kern w:val="0"/>
                <w:sz w:val="22"/>
                <w:szCs w:val="22"/>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184CD4FC">
            <w:pPr>
              <w:widowControl/>
              <w:jc w:val="center"/>
              <w:rPr>
                <w:rFonts w:hint="eastAsia" w:ascii="宋体" w:hAnsi="宋体" w:cs="宋体" w:eastAsiaTheme="minorEastAsia"/>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r>
      <w:tr w14:paraId="5C71D1ED">
        <w:tblPrEx>
          <w:tblCellMar>
            <w:top w:w="0" w:type="dxa"/>
            <w:left w:w="108" w:type="dxa"/>
            <w:bottom w:w="0" w:type="dxa"/>
            <w:right w:w="108" w:type="dxa"/>
          </w:tblCellMar>
        </w:tblPrEx>
        <w:trPr>
          <w:trHeight w:val="972" w:hRule="atLeast"/>
        </w:trPr>
        <w:tc>
          <w:tcPr>
            <w:tcW w:w="1404" w:type="dxa"/>
            <w:gridSpan w:val="2"/>
            <w:tcBorders>
              <w:top w:val="nil"/>
              <w:left w:val="single" w:color="auto" w:sz="4" w:space="0"/>
              <w:bottom w:val="single" w:color="auto" w:sz="4" w:space="0"/>
              <w:right w:val="single" w:color="auto" w:sz="4" w:space="0"/>
            </w:tcBorders>
          </w:tcPr>
          <w:p w14:paraId="6D2E65CC">
            <w:pPr>
              <w:widowControl/>
              <w:rPr>
                <w:szCs w:val="21"/>
              </w:rPr>
            </w:pPr>
            <w:r>
              <w:rPr>
                <w:szCs w:val="21"/>
              </w:rPr>
              <w:t>商务要求</w:t>
            </w:r>
          </w:p>
        </w:tc>
        <w:tc>
          <w:tcPr>
            <w:tcW w:w="8343" w:type="dxa"/>
            <w:gridSpan w:val="3"/>
            <w:tcBorders>
              <w:top w:val="nil"/>
              <w:left w:val="nil"/>
              <w:bottom w:val="single" w:color="auto" w:sz="4" w:space="0"/>
              <w:right w:val="single" w:color="auto" w:sz="4" w:space="0"/>
            </w:tcBorders>
            <w:vAlign w:val="top"/>
          </w:tcPr>
          <w:p w14:paraId="3B4861EB">
            <w:pPr>
              <w:numPr>
                <w:ilvl w:val="0"/>
                <w:numId w:val="3"/>
              </w:numPr>
              <w:spacing w:line="360" w:lineRule="auto"/>
              <w:jc w:val="left"/>
              <w:rPr>
                <w:rFonts w:cs="Times New Roman"/>
                <w:strike w:val="0"/>
                <w:dstrike w:val="0"/>
                <w:color w:val="auto"/>
                <w:sz w:val="21"/>
                <w:szCs w:val="21"/>
              </w:rPr>
            </w:pPr>
            <w:r>
              <w:rPr>
                <w:rFonts w:hint="eastAsia" w:cs="Times New Roman"/>
                <w:b w:val="0"/>
                <w:bCs w:val="0"/>
                <w:strike w:val="0"/>
                <w:dstrike w:val="0"/>
                <w:sz w:val="21"/>
                <w:szCs w:val="21"/>
              </w:rPr>
              <w:t>服务交付时间：</w:t>
            </w:r>
            <w:r>
              <w:rPr>
                <w:rFonts w:hint="eastAsia" w:cs="Times New Roman"/>
                <w:strike w:val="0"/>
                <w:dstrike w:val="0"/>
                <w:sz w:val="21"/>
                <w:szCs w:val="21"/>
              </w:rPr>
              <w:t>签订合同</w:t>
            </w:r>
            <w:r>
              <w:rPr>
                <w:rFonts w:hint="eastAsia" w:cs="Times New Roman"/>
                <w:strike w:val="0"/>
                <w:dstrike w:val="0"/>
                <w:color w:val="auto"/>
                <w:sz w:val="21"/>
                <w:szCs w:val="21"/>
              </w:rPr>
              <w:t>之日起</w:t>
            </w:r>
            <w:r>
              <w:rPr>
                <w:rFonts w:hint="eastAsia" w:cs="Times New Roman"/>
                <w:b/>
                <w:bCs/>
                <w:strike w:val="0"/>
                <w:dstrike w:val="0"/>
                <w:color w:val="auto"/>
                <w:sz w:val="21"/>
                <w:szCs w:val="21"/>
                <w:u w:val="single"/>
                <w:lang w:val="en-US" w:eastAsia="zh-CN"/>
              </w:rPr>
              <w:t>立即启动服务</w:t>
            </w:r>
            <w:r>
              <w:rPr>
                <w:rFonts w:hint="eastAsia" w:cs="Times New Roman"/>
                <w:strike w:val="0"/>
                <w:dstrike w:val="0"/>
                <w:color w:val="auto"/>
                <w:sz w:val="21"/>
                <w:szCs w:val="21"/>
              </w:rPr>
              <w:t>。</w:t>
            </w:r>
          </w:p>
          <w:p w14:paraId="55147B24">
            <w:pPr>
              <w:numPr>
                <w:ilvl w:val="0"/>
                <w:numId w:val="0"/>
              </w:numPr>
              <w:spacing w:line="360" w:lineRule="auto"/>
              <w:jc w:val="left"/>
              <w:rPr>
                <w:rFonts w:hint="eastAsia"/>
                <w:lang w:val="en-US" w:eastAsia="zh-CN"/>
              </w:rPr>
            </w:pPr>
            <w:r>
              <w:rPr>
                <w:rFonts w:hint="eastAsia"/>
                <w:lang w:val="en-US" w:eastAsia="zh-CN"/>
              </w:rPr>
              <w:t>服务期：自合同签订之日起一年（或结算金额达到上限4万元自动终止）</w:t>
            </w:r>
          </w:p>
          <w:p w14:paraId="68975E83">
            <w:pPr>
              <w:pStyle w:val="6"/>
              <w:rPr>
                <w:rFonts w:hint="eastAsia" w:cs="Times New Roman" w:eastAsiaTheme="minorEastAsia"/>
                <w:b w:val="0"/>
                <w:bCs w:val="0"/>
                <w:strike w:val="0"/>
                <w:dstrike w:val="0"/>
                <w:color w:val="auto"/>
                <w:sz w:val="21"/>
                <w:szCs w:val="21"/>
                <w:lang w:val="en-US" w:eastAsia="zh-CN"/>
              </w:rPr>
            </w:pPr>
            <w:r>
              <w:rPr>
                <w:rFonts w:hint="eastAsia" w:cs="Times New Roman"/>
                <w:b w:val="0"/>
                <w:bCs w:val="0"/>
                <w:color w:val="auto"/>
                <w:sz w:val="21"/>
                <w:szCs w:val="21"/>
              </w:rPr>
              <w:t>2.</w:t>
            </w:r>
            <w:r>
              <w:rPr>
                <w:rFonts w:hint="eastAsia" w:cs="Times New Roman"/>
                <w:b w:val="0"/>
                <w:bCs w:val="0"/>
                <w:strike w:val="0"/>
                <w:dstrike w:val="0"/>
                <w:color w:val="auto"/>
                <w:sz w:val="21"/>
                <w:szCs w:val="21"/>
              </w:rPr>
              <w:t>技术支持和服务</w:t>
            </w:r>
            <w:r>
              <w:rPr>
                <w:rFonts w:hint="eastAsia" w:cs="Times New Roman"/>
                <w:b w:val="0"/>
                <w:bCs w:val="0"/>
                <w:strike w:val="0"/>
                <w:dstrike w:val="0"/>
                <w:color w:val="auto"/>
                <w:sz w:val="21"/>
                <w:szCs w:val="21"/>
                <w:lang w:val="en-US" w:eastAsia="zh-CN"/>
              </w:rPr>
              <w:t>要求</w:t>
            </w:r>
          </w:p>
          <w:p w14:paraId="58B310B5">
            <w:pPr>
              <w:snapToGrid w:val="0"/>
              <w:spacing w:line="276" w:lineRule="auto"/>
              <w:rPr>
                <w:rFonts w:ascii="宋体" w:hAnsi="宋体"/>
                <w:strike w:val="0"/>
                <w:dstrike w:val="0"/>
                <w:color w:val="auto"/>
                <w:kern w:val="0"/>
                <w:szCs w:val="22"/>
              </w:rPr>
            </w:pPr>
            <w:r>
              <w:rPr>
                <w:rFonts w:hint="eastAsia" w:ascii="宋体" w:hAnsi="宋体"/>
                <w:strike w:val="0"/>
                <w:dstrike w:val="0"/>
                <w:color w:val="auto"/>
                <w:kern w:val="0"/>
                <w:szCs w:val="22"/>
                <w:lang w:val="en-US" w:eastAsia="zh-CN"/>
              </w:rPr>
              <w:t>（1）本</w:t>
            </w:r>
            <w:r>
              <w:rPr>
                <w:rFonts w:ascii="宋体" w:hAnsi="宋体"/>
                <w:strike w:val="0"/>
                <w:dstrike w:val="0"/>
                <w:color w:val="auto"/>
                <w:kern w:val="0"/>
                <w:szCs w:val="22"/>
              </w:rPr>
              <w:t>项目所提供的全部货物（含硬件、软件及服务）必须完全满足</w:t>
            </w:r>
            <w:r>
              <w:rPr>
                <w:rFonts w:hint="eastAsia" w:ascii="宋体" w:hAnsi="宋体"/>
                <w:strike w:val="0"/>
                <w:dstrike w:val="0"/>
                <w:color w:val="auto"/>
                <w:kern w:val="0"/>
                <w:szCs w:val="22"/>
                <w:lang w:val="en-US" w:eastAsia="zh-CN"/>
              </w:rPr>
              <w:t>报价</w:t>
            </w:r>
            <w:r>
              <w:rPr>
                <w:rFonts w:ascii="宋体" w:hAnsi="宋体"/>
                <w:strike w:val="0"/>
                <w:dstrike w:val="0"/>
                <w:color w:val="auto"/>
                <w:kern w:val="0"/>
                <w:szCs w:val="22"/>
              </w:rPr>
              <w:t>文件所述要求，如中标</w:t>
            </w:r>
            <w:r>
              <w:rPr>
                <w:rFonts w:hint="eastAsia" w:ascii="宋体" w:hAnsi="宋体"/>
                <w:strike w:val="0"/>
                <w:dstrike w:val="0"/>
                <w:color w:val="auto"/>
                <w:kern w:val="0"/>
                <w:szCs w:val="22"/>
                <w:lang w:eastAsia="zh-CN"/>
              </w:rPr>
              <w:t>报价人</w:t>
            </w:r>
            <w:r>
              <w:rPr>
                <w:rFonts w:ascii="宋体" w:hAnsi="宋体"/>
                <w:strike w:val="0"/>
                <w:dstrike w:val="0"/>
                <w:color w:val="auto"/>
                <w:kern w:val="0"/>
                <w:szCs w:val="22"/>
              </w:rPr>
              <w:t>在</w:t>
            </w:r>
            <w:r>
              <w:rPr>
                <w:rFonts w:hint="eastAsia" w:ascii="宋体" w:hAnsi="宋体"/>
                <w:strike w:val="0"/>
                <w:dstrike w:val="0"/>
                <w:color w:val="auto"/>
                <w:kern w:val="0"/>
                <w:szCs w:val="22"/>
                <w:lang w:eastAsia="zh-CN"/>
              </w:rPr>
              <w:t>报价</w:t>
            </w:r>
            <w:r>
              <w:rPr>
                <w:rFonts w:ascii="宋体" w:hAnsi="宋体"/>
                <w:strike w:val="0"/>
                <w:dstrike w:val="0"/>
                <w:color w:val="auto"/>
                <w:kern w:val="0"/>
                <w:szCs w:val="22"/>
              </w:rPr>
              <w:t>文件中有承诺正偏离的应按其正偏离内容执行。</w:t>
            </w:r>
          </w:p>
          <w:p w14:paraId="0BCB99B4">
            <w:pPr>
              <w:pStyle w:val="6"/>
              <w:rPr>
                <w:rFonts w:hint="default"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3.知识产权及保密要求</w:t>
            </w:r>
          </w:p>
          <w:p w14:paraId="64147455">
            <w:pPr>
              <w:keepNext w:val="0"/>
              <w:keepLines w:val="0"/>
              <w:widowControl/>
              <w:suppressLineNumbers w:val="0"/>
              <w:jc w:val="left"/>
              <w:rPr>
                <w:rFonts w:hint="eastAsia" w:cs="Times New Roman" w:asciiTheme="minorHAnsi" w:hAnsiTheme="minorHAnsi" w:eastAsiaTheme="minorEastAsia"/>
                <w:strike w:val="0"/>
                <w:dstrike w:val="0"/>
                <w:color w:val="auto"/>
                <w:kern w:val="2"/>
                <w:sz w:val="21"/>
                <w:szCs w:val="21"/>
                <w:lang w:val="en-US" w:eastAsia="zh-CN" w:bidi="ar-SA"/>
              </w:rPr>
            </w:pPr>
            <w:r>
              <w:rPr>
                <w:rFonts w:hint="eastAsia" w:ascii="宋体" w:hAnsi="宋体" w:eastAsia="宋体" w:cs="宋体"/>
                <w:kern w:val="0"/>
                <w:sz w:val="24"/>
                <w:szCs w:val="24"/>
                <w:lang w:val="en-US" w:eastAsia="zh-CN" w:bidi="ar"/>
              </w:rPr>
              <w:t>（</w:t>
            </w:r>
            <w:r>
              <w:rPr>
                <w:rFonts w:hint="eastAsia" w:cs="Times New Roman" w:asciiTheme="minorHAnsi" w:hAnsiTheme="minorHAnsi" w:eastAsiaTheme="minorEastAsia"/>
                <w:strike w:val="0"/>
                <w:dstrike w:val="0"/>
                <w:color w:val="auto"/>
                <w:kern w:val="2"/>
                <w:sz w:val="21"/>
                <w:szCs w:val="21"/>
                <w:lang w:val="en-US" w:eastAsia="zh-CN" w:bidi="ar-SA"/>
              </w:rPr>
              <w:t>1）报价人对项目图纸、工程量、控制价、造价数据等涉密资料承担永久保密责任，不得外泄、挪作他用，所有造价成果知识产权归采购人所有；</w:t>
            </w:r>
          </w:p>
          <w:p w14:paraId="49A25086">
            <w:pPr>
              <w:pStyle w:val="6"/>
              <w:rPr>
                <w:rFonts w:hint="eastAsia" w:cs="Times New Roman" w:asciiTheme="minorHAnsi" w:hAnsiTheme="minorHAnsi" w:eastAsiaTheme="minorEastAsia"/>
                <w:strike w:val="0"/>
                <w:dstrike w:val="0"/>
                <w:color w:val="auto"/>
                <w:kern w:val="2"/>
                <w:sz w:val="21"/>
                <w:szCs w:val="21"/>
                <w:lang w:val="en-US" w:eastAsia="zh-CN" w:bidi="ar-SA"/>
              </w:rPr>
            </w:pPr>
            <w:r>
              <w:rPr>
                <w:rFonts w:hint="eastAsia" w:cs="Times New Roman" w:asciiTheme="minorHAnsi" w:hAnsiTheme="minorHAnsi" w:eastAsiaTheme="minorEastAsia"/>
                <w:strike w:val="0"/>
                <w:dstrike w:val="0"/>
                <w:color w:val="auto"/>
                <w:kern w:val="2"/>
                <w:sz w:val="21"/>
                <w:szCs w:val="21"/>
                <w:lang w:val="en-US" w:eastAsia="zh-CN" w:bidi="ar-SA"/>
              </w:rPr>
              <w:t>（2）报价人因未经授权而实施的商业性复制行为构成违约或侵权责任造成采购人损失的，由其</w:t>
            </w:r>
            <w:r>
              <w:rPr>
                <w:rFonts w:hint="eastAsia" w:cs="Times New Roman"/>
                <w:strike w:val="0"/>
                <w:dstrike w:val="0"/>
                <w:color w:val="auto"/>
                <w:kern w:val="2"/>
                <w:sz w:val="21"/>
                <w:szCs w:val="21"/>
                <w:lang w:val="en-US" w:eastAsia="zh-CN" w:bidi="ar-SA"/>
              </w:rPr>
              <w:t>承担</w:t>
            </w:r>
            <w:r>
              <w:rPr>
                <w:rFonts w:hint="eastAsia" w:cs="Times New Roman" w:asciiTheme="minorHAnsi" w:hAnsiTheme="minorHAnsi" w:eastAsiaTheme="minorEastAsia"/>
                <w:strike w:val="0"/>
                <w:dstrike w:val="0"/>
                <w:color w:val="auto"/>
                <w:kern w:val="2"/>
                <w:sz w:val="21"/>
                <w:szCs w:val="21"/>
                <w:lang w:val="en-US" w:eastAsia="zh-CN" w:bidi="ar-SA"/>
              </w:rPr>
              <w:t>相关责任并赔偿采购人经济损失。</w:t>
            </w:r>
          </w:p>
          <w:p w14:paraId="05D27491">
            <w:pPr>
              <w:widowControl/>
              <w:numPr>
                <w:ilvl w:val="0"/>
                <w:numId w:val="0"/>
              </w:numPr>
              <w:adjustRightInd w:val="0"/>
              <w:snapToGrid w:val="0"/>
              <w:spacing w:line="360" w:lineRule="auto"/>
              <w:jc w:val="left"/>
              <w:rPr>
                <w:rFonts w:hint="default" w:ascii="Arial" w:hAnsi="Arial" w:eastAsia="宋体" w:cs="Arial"/>
                <w:b w:val="0"/>
                <w:bCs w:val="0"/>
                <w:strike w:val="0"/>
                <w:dstrike w:val="0"/>
                <w:color w:val="auto"/>
                <w:kern w:val="0"/>
                <w:sz w:val="21"/>
                <w:szCs w:val="21"/>
                <w:lang w:val="en-US" w:eastAsia="zh-CN"/>
              </w:rPr>
            </w:pPr>
            <w:r>
              <w:rPr>
                <w:rFonts w:hint="eastAsia" w:ascii="Arial" w:hAnsi="Arial" w:eastAsia="宋体" w:cs="Arial"/>
                <w:b w:val="0"/>
                <w:bCs w:val="0"/>
                <w:color w:val="auto"/>
                <w:kern w:val="0"/>
                <w:sz w:val="21"/>
                <w:szCs w:val="21"/>
                <w:lang w:val="en-US" w:eastAsia="zh-CN"/>
              </w:rPr>
              <w:t>4</w:t>
            </w:r>
            <w:r>
              <w:rPr>
                <w:rFonts w:hint="eastAsia" w:ascii="Arial" w:hAnsi="Arial" w:eastAsia="宋体" w:cs="Arial"/>
                <w:b w:val="0"/>
                <w:bCs w:val="0"/>
                <w:strike w:val="0"/>
                <w:dstrike w:val="0"/>
                <w:color w:val="auto"/>
                <w:kern w:val="0"/>
                <w:sz w:val="21"/>
                <w:szCs w:val="21"/>
                <w:lang w:val="en-US" w:eastAsia="zh-CN"/>
              </w:rPr>
              <w:t>.费用结算</w:t>
            </w:r>
          </w:p>
          <w:p w14:paraId="15E7A0FB">
            <w:pPr>
              <w:widowControl/>
              <w:numPr>
                <w:ilvl w:val="0"/>
                <w:numId w:val="0"/>
              </w:numPr>
              <w:adjustRightInd w:val="0"/>
              <w:snapToGrid w:val="0"/>
              <w:spacing w:line="360" w:lineRule="auto"/>
              <w:jc w:val="left"/>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①计费方式</w:t>
            </w:r>
          </w:p>
          <w:p w14:paraId="35D6AB0B">
            <w:pPr>
              <w:widowControl/>
              <w:numPr>
                <w:ilvl w:val="0"/>
                <w:numId w:val="0"/>
              </w:numPr>
              <w:adjustRightInd w:val="0"/>
              <w:snapToGrid w:val="0"/>
              <w:spacing w:line="360" w:lineRule="auto"/>
              <w:jc w:val="left"/>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本项目采用固定让利率报价，</w:t>
            </w:r>
            <w:r>
              <w:rPr>
                <w:rFonts w:hint="eastAsia" w:ascii="Arial" w:hAnsi="Arial" w:eastAsia="宋体" w:cs="Arial"/>
                <w:b w:val="0"/>
                <w:bCs w:val="0"/>
                <w:strike w:val="0"/>
                <w:dstrike w:val="0"/>
                <w:color w:val="auto"/>
                <w:kern w:val="0"/>
                <w:sz w:val="21"/>
                <w:szCs w:val="21"/>
                <w:highlight w:val="none"/>
              </w:rPr>
              <w:t>以单项工程最终招标控制价（不含暂列金额、暂估价）为计费基数，按照“行业基准收费标</w:t>
            </w:r>
            <w:r>
              <w:rPr>
                <w:rFonts w:hint="eastAsia" w:ascii="Arial" w:hAnsi="Arial" w:eastAsia="宋体" w:cs="Arial"/>
                <w:b w:val="0"/>
                <w:bCs w:val="0"/>
                <w:strike w:val="0"/>
                <w:dstrike w:val="0"/>
                <w:color w:val="auto"/>
                <w:kern w:val="0"/>
                <w:sz w:val="21"/>
                <w:szCs w:val="21"/>
              </w:rPr>
              <w:t>准×中标让利率”计算单项服务费，服务期内让利率固定不变，不因人工、物价、市场波动调整。</w:t>
            </w:r>
          </w:p>
          <w:p w14:paraId="2C83390A">
            <w:pPr>
              <w:pStyle w:val="5"/>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② 费用、费率计算依据为《关于我区工程造价咨询服务行业收费参考标准的通知》（桂价协〔2019〕15号）（如有更新按最新的收费标准文件执行）； 因零星项目规模偏小、涉及专业单一，单个工程的造价咨询服务费设定保底价1000元，即根据收费标准计算出的造价咨询服务费不足1000元的按1000元结算；超过1000元的如实结算；</w:t>
            </w:r>
          </w:p>
          <w:p w14:paraId="66D7B78A">
            <w:pPr>
              <w:widowControl/>
              <w:numPr>
                <w:ilvl w:val="0"/>
                <w:numId w:val="0"/>
              </w:numPr>
              <w:adjustRightInd w:val="0"/>
              <w:snapToGrid w:val="0"/>
              <w:spacing w:line="360" w:lineRule="auto"/>
              <w:jc w:val="left"/>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③中标报价人按季（每满三个月）向采购人提交服务费用结算清单，采购人在收到服务费用结算清单之日起15日内核准并支付。</w:t>
            </w:r>
          </w:p>
          <w:p w14:paraId="6D848F9F">
            <w:pPr>
              <w:widowControl/>
              <w:numPr>
                <w:ilvl w:val="0"/>
                <w:numId w:val="0"/>
              </w:numPr>
              <w:adjustRightInd w:val="0"/>
              <w:snapToGrid w:val="0"/>
              <w:spacing w:line="360" w:lineRule="auto"/>
              <w:jc w:val="left"/>
              <w:rPr>
                <w:rFonts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协商。</w:t>
            </w:r>
          </w:p>
          <w:p w14:paraId="1BEFAF08">
            <w:pPr>
              <w:pStyle w:val="6"/>
              <w:spacing w:line="360" w:lineRule="auto"/>
              <w:rPr>
                <w:rFonts w:hint="eastAsia" w:cs="Times New Roman"/>
                <w:b w:val="0"/>
                <w:bCs w:val="0"/>
                <w:strike w:val="0"/>
                <w:dstrike w:val="0"/>
                <w:color w:val="auto"/>
                <w:sz w:val="21"/>
                <w:szCs w:val="21"/>
                <w:lang w:val="en-US" w:eastAsia="zh-CN"/>
              </w:rPr>
            </w:pPr>
            <w:r>
              <w:rPr>
                <w:rFonts w:hint="eastAsia" w:ascii="Arial" w:hAnsi="Arial" w:eastAsia="宋体" w:cs="Arial"/>
                <w:b w:val="0"/>
                <w:bCs w:val="0"/>
                <w:strike w:val="0"/>
                <w:dstrike w:val="0"/>
                <w:color w:val="auto"/>
                <w:kern w:val="0"/>
                <w:sz w:val="21"/>
                <w:szCs w:val="21"/>
                <w:lang w:val="en-US" w:eastAsia="zh-CN"/>
              </w:rPr>
              <w:t>5.</w:t>
            </w:r>
            <w:r>
              <w:rPr>
                <w:rFonts w:hint="eastAsia" w:cs="Times New Roman"/>
                <w:b w:val="0"/>
                <w:bCs w:val="0"/>
                <w:strike w:val="0"/>
                <w:dstrike w:val="0"/>
                <w:color w:val="auto"/>
                <w:sz w:val="21"/>
                <w:szCs w:val="21"/>
                <w:lang w:val="en-US" w:eastAsia="zh-CN"/>
              </w:rPr>
              <w:t>验收要求</w:t>
            </w:r>
          </w:p>
          <w:p w14:paraId="48527D32">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w:t>
            </w:r>
            <w:r>
              <w:rPr>
                <w:rFonts w:ascii="宋体" w:hAnsi="宋体" w:eastAsia="宋体" w:cs="宋体"/>
                <w:strike w:val="0"/>
                <w:kern w:val="0"/>
                <w:sz w:val="21"/>
                <w:szCs w:val="21"/>
                <w:lang w:val="en-US" w:eastAsia="zh-CN" w:bidi="ar"/>
              </w:rPr>
              <w:t>以本采购需求、中标</w:t>
            </w:r>
            <w:r>
              <w:rPr>
                <w:rFonts w:hint="eastAsia" w:ascii="宋体" w:hAnsi="宋体" w:eastAsia="宋体" w:cs="宋体"/>
                <w:strike w:val="0"/>
                <w:kern w:val="0"/>
                <w:sz w:val="21"/>
                <w:szCs w:val="21"/>
                <w:lang w:val="en-US" w:eastAsia="zh-CN" w:bidi="ar"/>
              </w:rPr>
              <w:t>报价</w:t>
            </w:r>
            <w:r>
              <w:rPr>
                <w:rFonts w:ascii="宋体" w:hAnsi="宋体" w:eastAsia="宋体" w:cs="宋体"/>
                <w:strike w:val="0"/>
                <w:kern w:val="0"/>
                <w:sz w:val="21"/>
                <w:szCs w:val="21"/>
                <w:lang w:val="en-US" w:eastAsia="zh-CN" w:bidi="ar"/>
              </w:rPr>
              <w:t>文件、国家及广西现行计价规范、定额标</w:t>
            </w:r>
            <w:r>
              <w:rPr>
                <w:rFonts w:hint="eastAsia" w:cs="Times New Roman"/>
                <w:strike w:val="0"/>
                <w:dstrike w:val="0"/>
                <w:color w:val="auto"/>
                <w:sz w:val="21"/>
                <w:szCs w:val="21"/>
                <w:lang w:val="en-US" w:eastAsia="zh-CN"/>
              </w:rPr>
              <w:t>准、桂价协〔2019〕15号行业收费标准、采购人委托任务单、审核整改意见为统一验收依据。</w:t>
            </w:r>
          </w:p>
          <w:p w14:paraId="079B3F0B">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（2）单个零星项目造价成果文件同时满足以下条件，判定为验收合格：</w:t>
            </w:r>
          </w:p>
          <w:p w14:paraId="62E5B960">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①响应时效合格：按要求完成线上响应、现场踏勘核量，无无故缺席、超时到场、拒接委托等情况；</w:t>
            </w:r>
          </w:p>
          <w:p w14:paraId="48B44DDF">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②交付时限合格：在约定工作日内完整提交工程量清单、招标控制价、计算底稿、询价资料、编制说明等全套成果资料；</w:t>
            </w:r>
          </w:p>
          <w:p w14:paraId="262655D7">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③成果质量合格：清单子目完整、无重大漏项错项，工程量计算准确、组价取费合规、材料价格贴合市场及当期造价信息。整体造价误差率控制在±5%以内；</w:t>
            </w:r>
          </w:p>
          <w:p w14:paraId="7DDE957D">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④整改配合合格：免费配合采购人、财政、审计部门答疑、复核、整改，直至成果审定通过；</w:t>
            </w:r>
          </w:p>
          <w:p w14:paraId="438AA52F">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⑤资料归档合格：成果文件格式规范、内容完整，纸质版、电子版同步齐全，符合采购人归档标准。</w:t>
            </w:r>
          </w:p>
          <w:p w14:paraId="22BF08CC">
            <w:pPr>
              <w:pStyle w:val="6"/>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（3）采购人有权委托第三方进行履约验收，履约验收费用（含运行耗材、验收专家费等全部费用）由中标报价人支付。报价人在报价时自行考虑。</w:t>
            </w:r>
          </w:p>
          <w:p w14:paraId="7152BCC6">
            <w:pPr>
              <w:snapToGrid w:val="0"/>
              <w:spacing w:line="276" w:lineRule="auto"/>
            </w:pPr>
            <w:r>
              <w:rPr>
                <w:rFonts w:hint="eastAsia" w:cs="Times New Roman"/>
                <w:strike w:val="0"/>
                <w:dstrike w:val="0"/>
                <w:color w:val="auto"/>
                <w:sz w:val="21"/>
                <w:szCs w:val="21"/>
                <w:lang w:val="en-US" w:eastAsia="zh-CN"/>
              </w:rPr>
              <w:t>（4）如果验收时中标报价人所提供设备达不到采购项目的技术需求，在整改期限20日内中标报价人仍无法提供满足项目技术要求的设备，采购人可以终止项目，中标报价人须承担相应违约责任。</w:t>
            </w:r>
          </w:p>
        </w:tc>
      </w:tr>
    </w:tbl>
    <w:p w14:paraId="08875A4E">
      <w:pPr>
        <w:pStyle w:val="6"/>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6"/>
        <w:numPr>
          <w:ilvl w:val="0"/>
          <w:numId w:val="4"/>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4"/>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17</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俞老师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13737270750</w:t>
      </w:r>
      <w:r>
        <w:rPr>
          <w:rFonts w:hint="eastAsia" w:asciiTheme="majorEastAsia" w:hAnsiTheme="majorEastAsia" w:eastAsiaTheme="majorEastAsia" w:cstheme="majorEastAsia"/>
          <w:bCs/>
          <w:kern w:val="0"/>
          <w:sz w:val="24"/>
          <w:szCs w:val="28"/>
          <w:lang w:bidi="en-US"/>
        </w:rPr>
        <w:t xml:space="preserve"> </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6"/>
        <w:spacing w:line="360" w:lineRule="auto"/>
        <w:rPr>
          <w:rFonts w:ascii="Arial" w:hAnsi="Arial" w:eastAsia="宋体" w:cs="Arial"/>
          <w:kern w:val="0"/>
          <w:sz w:val="24"/>
          <w:szCs w:val="28"/>
        </w:rPr>
      </w:pPr>
    </w:p>
    <w:p w14:paraId="2D2AD8E3">
      <w:pPr>
        <w:pStyle w:val="6"/>
        <w:spacing w:line="360" w:lineRule="auto"/>
      </w:pPr>
    </w:p>
    <w:p w14:paraId="335E7CA1">
      <w:pPr>
        <w:pStyle w:val="6"/>
        <w:jc w:val="center"/>
        <w:rPr>
          <w:b/>
          <w:sz w:val="44"/>
          <w:szCs w:val="36"/>
        </w:rPr>
      </w:pPr>
    </w:p>
    <w:p w14:paraId="167D5399">
      <w:pPr>
        <w:pStyle w:val="6"/>
        <w:jc w:val="center"/>
        <w:rPr>
          <w:rFonts w:hint="eastAsia"/>
          <w:b/>
          <w:sz w:val="48"/>
          <w:szCs w:val="40"/>
        </w:rPr>
      </w:pPr>
    </w:p>
    <w:p w14:paraId="31033C21">
      <w:pPr>
        <w:pStyle w:val="6"/>
        <w:jc w:val="center"/>
        <w:rPr>
          <w:rFonts w:hint="eastAsia"/>
          <w:b/>
          <w:sz w:val="48"/>
          <w:szCs w:val="40"/>
        </w:rPr>
      </w:pPr>
    </w:p>
    <w:p w14:paraId="5A41BDF5">
      <w:pPr>
        <w:pStyle w:val="6"/>
        <w:jc w:val="center"/>
        <w:rPr>
          <w:rFonts w:hint="eastAsia"/>
          <w:b/>
          <w:sz w:val="48"/>
          <w:szCs w:val="40"/>
        </w:rPr>
      </w:pPr>
    </w:p>
    <w:p w14:paraId="0F3D73F6">
      <w:pPr>
        <w:pStyle w:val="6"/>
        <w:jc w:val="center"/>
        <w:rPr>
          <w:rFonts w:hint="eastAsia"/>
          <w:b/>
          <w:sz w:val="48"/>
          <w:szCs w:val="40"/>
        </w:rPr>
      </w:pPr>
    </w:p>
    <w:p w14:paraId="67696AFA">
      <w:pPr>
        <w:pStyle w:val="6"/>
        <w:jc w:val="center"/>
        <w:rPr>
          <w:rFonts w:hint="eastAsia"/>
          <w:b/>
          <w:sz w:val="48"/>
          <w:szCs w:val="40"/>
        </w:rPr>
      </w:pPr>
      <w:bookmarkStart w:id="55" w:name="_GoBack"/>
      <w:bookmarkEnd w:id="55"/>
    </w:p>
    <w:p w14:paraId="3573AE7B">
      <w:pPr>
        <w:pStyle w:val="6"/>
        <w:jc w:val="center"/>
        <w:rPr>
          <w:rFonts w:hint="eastAsia"/>
          <w:b/>
          <w:sz w:val="48"/>
          <w:szCs w:val="40"/>
        </w:rPr>
      </w:pPr>
    </w:p>
    <w:p w14:paraId="776272BE">
      <w:pPr>
        <w:pStyle w:val="6"/>
        <w:jc w:val="center"/>
        <w:rPr>
          <w:b/>
          <w:sz w:val="48"/>
          <w:szCs w:val="40"/>
        </w:rPr>
      </w:pPr>
      <w:r>
        <w:rPr>
          <w:rFonts w:hint="eastAsia"/>
          <w:b/>
          <w:sz w:val="48"/>
          <w:szCs w:val="40"/>
        </w:rPr>
        <w:t>报价文件格式</w:t>
      </w:r>
    </w:p>
    <w:p w14:paraId="666830FA">
      <w:pPr>
        <w:pStyle w:val="6"/>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6"/>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6"/>
        <w:jc w:val="center"/>
        <w:rPr>
          <w:b/>
          <w:sz w:val="44"/>
          <w:szCs w:val="36"/>
        </w:rPr>
      </w:pPr>
    </w:p>
    <w:p w14:paraId="5050054A">
      <w:pPr>
        <w:pStyle w:val="6"/>
        <w:jc w:val="center"/>
        <w:rPr>
          <w:b/>
          <w:sz w:val="44"/>
          <w:szCs w:val="36"/>
        </w:rPr>
      </w:pPr>
    </w:p>
    <w:p w14:paraId="7D8AE5B0">
      <w:pPr>
        <w:pStyle w:val="6"/>
        <w:jc w:val="center"/>
        <w:rPr>
          <w:b/>
          <w:sz w:val="44"/>
          <w:szCs w:val="36"/>
        </w:rPr>
      </w:pPr>
    </w:p>
    <w:p w14:paraId="65B627EF">
      <w:pPr>
        <w:pStyle w:val="6"/>
        <w:jc w:val="center"/>
        <w:rPr>
          <w:b/>
          <w:sz w:val="44"/>
          <w:szCs w:val="36"/>
        </w:rPr>
      </w:pPr>
    </w:p>
    <w:p w14:paraId="22EA3E83">
      <w:pPr>
        <w:pStyle w:val="6"/>
        <w:jc w:val="center"/>
        <w:rPr>
          <w:b/>
          <w:sz w:val="44"/>
          <w:szCs w:val="36"/>
        </w:rPr>
      </w:pPr>
    </w:p>
    <w:p w14:paraId="25F16175">
      <w:pPr>
        <w:pStyle w:val="6"/>
        <w:jc w:val="center"/>
        <w:rPr>
          <w:b/>
          <w:sz w:val="44"/>
          <w:szCs w:val="36"/>
        </w:rPr>
      </w:pPr>
    </w:p>
    <w:p w14:paraId="7A11EE56">
      <w:pPr>
        <w:pStyle w:val="6"/>
        <w:numPr>
          <w:ilvl w:val="0"/>
          <w:numId w:val="6"/>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6"/>
        <w:numPr>
          <w:ilvl w:val="0"/>
          <w:numId w:val="0"/>
        </w:numPr>
        <w:jc w:val="left"/>
        <w:rPr>
          <w:rFonts w:hint="eastAsia"/>
          <w:b/>
          <w:sz w:val="36"/>
          <w:szCs w:val="36"/>
        </w:rPr>
      </w:pPr>
    </w:p>
    <w:p w14:paraId="470AC734">
      <w:pPr>
        <w:pStyle w:val="6"/>
        <w:numPr>
          <w:ilvl w:val="0"/>
          <w:numId w:val="0"/>
        </w:numPr>
        <w:jc w:val="left"/>
        <w:rPr>
          <w:rFonts w:hint="eastAsia"/>
          <w:b/>
          <w:sz w:val="36"/>
          <w:szCs w:val="36"/>
        </w:rPr>
      </w:pPr>
    </w:p>
    <w:p w14:paraId="23E8BFE9">
      <w:pPr>
        <w:pStyle w:val="6"/>
        <w:numPr>
          <w:ilvl w:val="0"/>
          <w:numId w:val="0"/>
        </w:numPr>
        <w:jc w:val="left"/>
        <w:rPr>
          <w:rFonts w:hint="eastAsia"/>
          <w:b/>
          <w:sz w:val="36"/>
          <w:szCs w:val="36"/>
        </w:rPr>
      </w:pPr>
    </w:p>
    <w:p w14:paraId="1A62783F">
      <w:pPr>
        <w:pStyle w:val="6"/>
        <w:numPr>
          <w:ilvl w:val="0"/>
          <w:numId w:val="0"/>
        </w:numPr>
        <w:jc w:val="left"/>
        <w:rPr>
          <w:rFonts w:hint="eastAsia"/>
          <w:b/>
          <w:sz w:val="36"/>
          <w:szCs w:val="36"/>
        </w:rPr>
      </w:pPr>
    </w:p>
    <w:p w14:paraId="37870246">
      <w:pPr>
        <w:pStyle w:val="6"/>
        <w:numPr>
          <w:ilvl w:val="0"/>
          <w:numId w:val="0"/>
        </w:numPr>
        <w:jc w:val="left"/>
        <w:rPr>
          <w:rFonts w:hint="eastAsia"/>
          <w:b/>
          <w:sz w:val="36"/>
          <w:szCs w:val="36"/>
        </w:rPr>
      </w:pPr>
    </w:p>
    <w:p w14:paraId="03D6C588">
      <w:pPr>
        <w:pStyle w:val="6"/>
        <w:numPr>
          <w:ilvl w:val="0"/>
          <w:numId w:val="0"/>
        </w:numPr>
        <w:jc w:val="left"/>
        <w:rPr>
          <w:rFonts w:hint="eastAsia"/>
          <w:b/>
          <w:sz w:val="36"/>
          <w:szCs w:val="36"/>
        </w:rPr>
      </w:pPr>
    </w:p>
    <w:p w14:paraId="33C56735">
      <w:pPr>
        <w:pStyle w:val="6"/>
        <w:numPr>
          <w:ilvl w:val="0"/>
          <w:numId w:val="0"/>
        </w:numPr>
        <w:jc w:val="left"/>
        <w:rPr>
          <w:rFonts w:hint="eastAsia"/>
          <w:b/>
          <w:sz w:val="36"/>
          <w:szCs w:val="36"/>
        </w:rPr>
      </w:pPr>
    </w:p>
    <w:p w14:paraId="1E983098">
      <w:pPr>
        <w:pStyle w:val="6"/>
        <w:numPr>
          <w:ilvl w:val="0"/>
          <w:numId w:val="0"/>
        </w:numPr>
        <w:jc w:val="left"/>
        <w:rPr>
          <w:rFonts w:hint="eastAsia"/>
          <w:b/>
          <w:sz w:val="36"/>
          <w:szCs w:val="36"/>
        </w:rPr>
      </w:pPr>
    </w:p>
    <w:p w14:paraId="573B5DE7">
      <w:pPr>
        <w:pStyle w:val="3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6"/>
        <w:rPr>
          <w:sz w:val="24"/>
          <w:szCs w:val="24"/>
        </w:rPr>
      </w:pPr>
    </w:p>
    <w:p w14:paraId="104E28E9">
      <w:pPr>
        <w:pStyle w:val="6"/>
        <w:rPr>
          <w:sz w:val="24"/>
          <w:szCs w:val="24"/>
        </w:rPr>
      </w:pPr>
    </w:p>
    <w:p w14:paraId="6DFC3D17">
      <w:pPr>
        <w:pStyle w:val="6"/>
        <w:rPr>
          <w:sz w:val="24"/>
          <w:szCs w:val="24"/>
        </w:rPr>
      </w:pPr>
    </w:p>
    <w:p w14:paraId="6C6BA235">
      <w:pPr>
        <w:pStyle w:val="6"/>
        <w:rPr>
          <w:sz w:val="24"/>
          <w:szCs w:val="24"/>
        </w:rPr>
      </w:pPr>
    </w:p>
    <w:p w14:paraId="5CD97640">
      <w:pPr>
        <w:pStyle w:val="6"/>
        <w:rPr>
          <w:sz w:val="24"/>
          <w:szCs w:val="24"/>
        </w:rPr>
      </w:pPr>
    </w:p>
    <w:p w14:paraId="06143FD8">
      <w:pPr>
        <w:pStyle w:val="6"/>
        <w:rPr>
          <w:sz w:val="24"/>
          <w:szCs w:val="24"/>
        </w:rPr>
      </w:pPr>
    </w:p>
    <w:p w14:paraId="4D0B5893">
      <w:pPr>
        <w:pStyle w:val="6"/>
        <w:rPr>
          <w:sz w:val="24"/>
          <w:szCs w:val="24"/>
        </w:rPr>
      </w:pPr>
    </w:p>
    <w:p w14:paraId="1771D750">
      <w:pPr>
        <w:pStyle w:val="6"/>
        <w:rPr>
          <w:sz w:val="24"/>
          <w:szCs w:val="24"/>
        </w:rPr>
      </w:pPr>
    </w:p>
    <w:p w14:paraId="194A9E8B">
      <w:pPr>
        <w:pStyle w:val="6"/>
        <w:rPr>
          <w:sz w:val="24"/>
          <w:szCs w:val="24"/>
        </w:rPr>
      </w:pPr>
    </w:p>
    <w:p w14:paraId="7C13A348">
      <w:pPr>
        <w:pStyle w:val="6"/>
        <w:rPr>
          <w:sz w:val="24"/>
          <w:szCs w:val="24"/>
        </w:rPr>
      </w:pPr>
    </w:p>
    <w:p w14:paraId="234CF384">
      <w:pPr>
        <w:pStyle w:val="6"/>
        <w:rPr>
          <w:sz w:val="24"/>
          <w:szCs w:val="24"/>
        </w:rPr>
      </w:pPr>
    </w:p>
    <w:p w14:paraId="5925F701">
      <w:pPr>
        <w:pStyle w:val="6"/>
        <w:rPr>
          <w:sz w:val="24"/>
          <w:szCs w:val="24"/>
        </w:rPr>
      </w:pPr>
    </w:p>
    <w:p w14:paraId="552CFC52">
      <w:pPr>
        <w:pStyle w:val="6"/>
        <w:rPr>
          <w:sz w:val="24"/>
          <w:szCs w:val="24"/>
        </w:rPr>
      </w:pPr>
    </w:p>
    <w:p w14:paraId="6BEF4C5C">
      <w:pPr>
        <w:pStyle w:val="6"/>
        <w:rPr>
          <w:sz w:val="24"/>
          <w:szCs w:val="24"/>
        </w:rPr>
      </w:pPr>
    </w:p>
    <w:p w14:paraId="67DA8AC9">
      <w:pPr>
        <w:pStyle w:val="6"/>
        <w:rPr>
          <w:sz w:val="24"/>
          <w:szCs w:val="24"/>
        </w:rPr>
      </w:pPr>
    </w:p>
    <w:p w14:paraId="5A4810C3">
      <w:pPr>
        <w:pStyle w:val="6"/>
        <w:rPr>
          <w:sz w:val="24"/>
          <w:szCs w:val="24"/>
        </w:rPr>
      </w:pPr>
    </w:p>
    <w:p w14:paraId="12D0D3DC">
      <w:pPr>
        <w:pStyle w:val="6"/>
        <w:rPr>
          <w:sz w:val="24"/>
          <w:szCs w:val="24"/>
        </w:rPr>
      </w:pPr>
    </w:p>
    <w:p w14:paraId="7AC96D58">
      <w:pPr>
        <w:pStyle w:val="6"/>
        <w:rPr>
          <w:sz w:val="24"/>
          <w:szCs w:val="24"/>
        </w:rPr>
      </w:pPr>
    </w:p>
    <w:p w14:paraId="438803F8">
      <w:pPr>
        <w:pStyle w:val="6"/>
        <w:rPr>
          <w:sz w:val="24"/>
          <w:szCs w:val="24"/>
        </w:rPr>
      </w:pPr>
    </w:p>
    <w:p w14:paraId="38EFBF24">
      <w:pPr>
        <w:pStyle w:val="6"/>
        <w:rPr>
          <w:sz w:val="24"/>
          <w:szCs w:val="24"/>
        </w:rPr>
      </w:pPr>
    </w:p>
    <w:p w14:paraId="5E18787D">
      <w:pPr>
        <w:pStyle w:val="6"/>
        <w:rPr>
          <w:sz w:val="24"/>
          <w:szCs w:val="24"/>
        </w:rPr>
      </w:pPr>
    </w:p>
    <w:p w14:paraId="50F62FAD">
      <w:pPr>
        <w:pStyle w:val="6"/>
        <w:rPr>
          <w:sz w:val="24"/>
          <w:szCs w:val="24"/>
        </w:rPr>
      </w:pPr>
    </w:p>
    <w:p w14:paraId="7C0A8F47">
      <w:pPr>
        <w:pStyle w:val="6"/>
        <w:rPr>
          <w:sz w:val="24"/>
          <w:szCs w:val="24"/>
        </w:rPr>
      </w:pPr>
    </w:p>
    <w:p w14:paraId="5DBAFC46">
      <w:pPr>
        <w:pStyle w:val="6"/>
        <w:rPr>
          <w:sz w:val="24"/>
          <w:szCs w:val="24"/>
        </w:rPr>
      </w:pPr>
    </w:p>
    <w:p w14:paraId="4AD066AC">
      <w:pPr>
        <w:pStyle w:val="6"/>
        <w:rPr>
          <w:sz w:val="24"/>
          <w:szCs w:val="24"/>
        </w:rPr>
      </w:pPr>
    </w:p>
    <w:p w14:paraId="30C0275E">
      <w:pPr>
        <w:pStyle w:val="6"/>
        <w:rPr>
          <w:sz w:val="24"/>
          <w:szCs w:val="24"/>
        </w:rPr>
      </w:pPr>
    </w:p>
    <w:p w14:paraId="1C14FF84">
      <w:pPr>
        <w:pStyle w:val="6"/>
        <w:rPr>
          <w:sz w:val="24"/>
          <w:szCs w:val="24"/>
        </w:rPr>
      </w:pPr>
    </w:p>
    <w:p w14:paraId="1F6862F8">
      <w:pPr>
        <w:pStyle w:val="6"/>
        <w:rPr>
          <w:sz w:val="24"/>
          <w:szCs w:val="24"/>
        </w:rPr>
      </w:pPr>
    </w:p>
    <w:p w14:paraId="3A8300A8">
      <w:pPr>
        <w:pStyle w:val="6"/>
        <w:rPr>
          <w:sz w:val="24"/>
          <w:szCs w:val="24"/>
        </w:rPr>
      </w:pPr>
    </w:p>
    <w:p w14:paraId="1E57EC9F">
      <w:pPr>
        <w:pStyle w:val="6"/>
        <w:rPr>
          <w:sz w:val="24"/>
          <w:szCs w:val="24"/>
        </w:rPr>
      </w:pPr>
    </w:p>
    <w:p w14:paraId="523C7935">
      <w:pPr>
        <w:pStyle w:val="6"/>
        <w:rPr>
          <w:sz w:val="24"/>
          <w:szCs w:val="24"/>
        </w:rPr>
      </w:pPr>
    </w:p>
    <w:p w14:paraId="20805CD2">
      <w:pPr>
        <w:pStyle w:val="6"/>
        <w:rPr>
          <w:sz w:val="24"/>
          <w:szCs w:val="24"/>
        </w:rPr>
      </w:pPr>
    </w:p>
    <w:p w14:paraId="77464BFD">
      <w:pPr>
        <w:pStyle w:val="6"/>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7"/>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7"/>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7"/>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748D586A">
      <w:pPr>
        <w:jc w:val="left"/>
        <w:outlineLvl w:val="1"/>
        <w:rPr>
          <w:rFonts w:hint="eastAsia" w:ascii="仿宋" w:hAnsi="仿宋" w:eastAsia="仿宋" w:cs="Times New Roman"/>
          <w:b/>
          <w:sz w:val="32"/>
          <w:szCs w:val="32"/>
          <w:lang w:val="en-US" w:eastAsia="zh-CN"/>
        </w:rPr>
      </w:pPr>
    </w:p>
    <w:p w14:paraId="63E00C22">
      <w:pPr>
        <w:jc w:val="left"/>
        <w:outlineLvl w:val="1"/>
        <w:rPr>
          <w:rFonts w:hint="eastAsia" w:ascii="仿宋" w:hAnsi="仿宋" w:eastAsia="仿宋" w:cs="Times New Roman"/>
          <w:b/>
          <w:sz w:val="32"/>
          <w:szCs w:val="32"/>
          <w:lang w:val="en-US" w:eastAsia="zh-CN"/>
        </w:rPr>
      </w:pPr>
    </w:p>
    <w:p w14:paraId="5E6729D6">
      <w:pPr>
        <w:jc w:val="left"/>
        <w:outlineLvl w:val="1"/>
        <w:rPr>
          <w:rFonts w:hint="eastAsia" w:ascii="仿宋" w:hAnsi="仿宋" w:eastAsia="仿宋" w:cs="Times New Roman"/>
          <w:b/>
          <w:sz w:val="32"/>
          <w:szCs w:val="32"/>
          <w:lang w:val="en-US" w:eastAsia="zh-CN"/>
        </w:rPr>
      </w:pPr>
    </w:p>
    <w:p w14:paraId="68EA2355">
      <w:pPr>
        <w:jc w:val="left"/>
        <w:outlineLvl w:val="1"/>
        <w:rPr>
          <w:rFonts w:hint="eastAsia" w:ascii="仿宋" w:hAnsi="仿宋" w:eastAsia="仿宋" w:cs="Times New Roman"/>
          <w:b/>
          <w:sz w:val="32"/>
          <w:szCs w:val="32"/>
          <w:lang w:val="en-US" w:eastAsia="zh-CN"/>
        </w:rPr>
      </w:pPr>
    </w:p>
    <w:p w14:paraId="467BB011">
      <w:pPr>
        <w:jc w:val="left"/>
        <w:outlineLvl w:val="1"/>
        <w:rPr>
          <w:rFonts w:hint="eastAsia" w:ascii="仿宋" w:hAnsi="仿宋" w:eastAsia="仿宋" w:cs="Times New Roman"/>
          <w:b/>
          <w:sz w:val="32"/>
          <w:szCs w:val="32"/>
          <w:lang w:val="en-US" w:eastAsia="zh-CN"/>
        </w:rPr>
      </w:pPr>
    </w:p>
    <w:p w14:paraId="57B3C765">
      <w:pPr>
        <w:jc w:val="left"/>
        <w:outlineLvl w:val="1"/>
        <w:rPr>
          <w:rFonts w:hint="eastAsia" w:ascii="仿宋" w:hAnsi="仿宋" w:eastAsia="仿宋" w:cs="Times New Roman"/>
          <w:b/>
          <w:sz w:val="32"/>
          <w:szCs w:val="32"/>
          <w:lang w:val="en-US" w:eastAsia="zh-CN"/>
        </w:rPr>
      </w:pPr>
    </w:p>
    <w:p w14:paraId="6FB6C2D4">
      <w:pPr>
        <w:jc w:val="left"/>
        <w:outlineLvl w:val="1"/>
        <w:rPr>
          <w:rFonts w:hint="eastAsia" w:ascii="仿宋" w:hAnsi="仿宋" w:eastAsia="仿宋" w:cs="Times New Roman"/>
          <w:b/>
          <w:sz w:val="32"/>
          <w:szCs w:val="32"/>
          <w:lang w:val="en-US" w:eastAsia="zh-CN"/>
        </w:rPr>
      </w:pPr>
    </w:p>
    <w:p w14:paraId="3A7652D6">
      <w:pPr>
        <w:jc w:val="left"/>
        <w:outlineLvl w:val="1"/>
        <w:rPr>
          <w:rFonts w:hint="eastAsia" w:ascii="仿宋" w:hAnsi="仿宋" w:eastAsia="仿宋" w:cs="Times New Roman"/>
          <w:b/>
          <w:sz w:val="32"/>
          <w:szCs w:val="32"/>
          <w:lang w:val="en-US" w:eastAsia="zh-CN"/>
        </w:rPr>
      </w:pPr>
    </w:p>
    <w:p w14:paraId="6EC9DD7F">
      <w:pPr>
        <w:jc w:val="left"/>
        <w:outlineLvl w:val="1"/>
        <w:rPr>
          <w:rFonts w:hint="eastAsia" w:ascii="仿宋" w:hAnsi="仿宋" w:eastAsia="仿宋" w:cs="Times New Roman"/>
          <w:b/>
          <w:sz w:val="32"/>
          <w:szCs w:val="32"/>
          <w:lang w:val="en-US" w:eastAsia="zh-CN"/>
        </w:rPr>
      </w:pPr>
    </w:p>
    <w:p w14:paraId="2025DDB8">
      <w:pPr>
        <w:jc w:val="left"/>
        <w:outlineLvl w:val="1"/>
        <w:rPr>
          <w:rFonts w:hint="eastAsia" w:ascii="仿宋" w:hAnsi="仿宋" w:eastAsia="仿宋" w:cs="Times New Roman"/>
          <w:b/>
          <w:sz w:val="32"/>
          <w:szCs w:val="32"/>
          <w:lang w:val="en-US" w:eastAsia="zh-CN"/>
        </w:rPr>
      </w:pPr>
    </w:p>
    <w:p w14:paraId="7B80F57A">
      <w:pPr>
        <w:jc w:val="left"/>
        <w:outlineLvl w:val="1"/>
        <w:rPr>
          <w:rFonts w:hint="eastAsia" w:ascii="仿宋" w:hAnsi="仿宋" w:eastAsia="仿宋" w:cs="Times New Roman"/>
          <w:b/>
          <w:sz w:val="32"/>
          <w:szCs w:val="32"/>
          <w:lang w:val="en-US" w:eastAsia="zh-CN"/>
        </w:rPr>
      </w:pPr>
    </w:p>
    <w:p w14:paraId="21D105D4">
      <w:pPr>
        <w:jc w:val="left"/>
        <w:outlineLvl w:val="1"/>
        <w:rPr>
          <w:rFonts w:hint="eastAsia" w:ascii="仿宋" w:hAnsi="仿宋" w:eastAsia="仿宋" w:cs="Times New Roman"/>
          <w:b/>
          <w:sz w:val="32"/>
          <w:szCs w:val="32"/>
          <w:lang w:val="en-US" w:eastAsia="zh-CN"/>
        </w:rPr>
      </w:pPr>
    </w:p>
    <w:p w14:paraId="46CB79E7">
      <w:pPr>
        <w:jc w:val="left"/>
        <w:outlineLvl w:val="1"/>
        <w:rPr>
          <w:rFonts w:hint="eastAsia" w:ascii="仿宋" w:hAnsi="仿宋" w:eastAsia="仿宋" w:cs="Times New Roman"/>
          <w:b/>
          <w:sz w:val="32"/>
          <w:szCs w:val="32"/>
          <w:lang w:val="en-US" w:eastAsia="zh-CN"/>
        </w:rPr>
      </w:pPr>
    </w:p>
    <w:p w14:paraId="292B5808">
      <w:pPr>
        <w:jc w:val="left"/>
        <w:outlineLvl w:val="1"/>
        <w:rPr>
          <w:rFonts w:hint="eastAsia" w:ascii="仿宋" w:hAnsi="仿宋" w:eastAsia="仿宋" w:cs="Times New Roman"/>
          <w:b/>
          <w:sz w:val="32"/>
          <w:szCs w:val="32"/>
          <w:lang w:val="en-US" w:eastAsia="zh-CN"/>
        </w:rPr>
      </w:pPr>
    </w:p>
    <w:p w14:paraId="549931DD">
      <w:pPr>
        <w:jc w:val="left"/>
        <w:outlineLvl w:val="1"/>
        <w:rPr>
          <w:rFonts w:hint="eastAsia" w:ascii="仿宋" w:hAnsi="仿宋" w:eastAsia="仿宋" w:cs="Times New Roman"/>
          <w:b/>
          <w:sz w:val="32"/>
          <w:szCs w:val="32"/>
          <w:lang w:val="en-US" w:eastAsia="zh-CN"/>
        </w:rPr>
      </w:pPr>
    </w:p>
    <w:p w14:paraId="3F91E9BC">
      <w:pPr>
        <w:jc w:val="left"/>
        <w:outlineLvl w:val="1"/>
        <w:rPr>
          <w:rFonts w:hint="eastAsia" w:ascii="仿宋" w:hAnsi="仿宋" w:eastAsia="仿宋" w:cs="Times New Roman"/>
          <w:b/>
          <w:sz w:val="32"/>
          <w:szCs w:val="32"/>
          <w:lang w:val="en-US" w:eastAsia="zh-CN"/>
        </w:rPr>
      </w:pPr>
    </w:p>
    <w:p w14:paraId="4E50EA4A">
      <w:pPr>
        <w:jc w:val="left"/>
        <w:outlineLvl w:val="1"/>
        <w:rPr>
          <w:rFonts w:hint="eastAsia" w:ascii="仿宋" w:hAnsi="仿宋" w:eastAsia="仿宋" w:cs="Times New Roman"/>
          <w:b/>
          <w:sz w:val="32"/>
          <w:szCs w:val="32"/>
          <w:lang w:val="en-US" w:eastAsia="zh-CN"/>
        </w:rPr>
      </w:pPr>
    </w:p>
    <w:p w14:paraId="0D31B969">
      <w:pPr>
        <w:jc w:val="left"/>
        <w:outlineLvl w:val="1"/>
        <w:rPr>
          <w:rFonts w:hint="eastAsia" w:ascii="仿宋" w:hAnsi="仿宋" w:eastAsia="仿宋" w:cs="Times New Roman"/>
          <w:b/>
          <w:sz w:val="32"/>
          <w:szCs w:val="32"/>
          <w:lang w:val="en-US" w:eastAsia="zh-CN"/>
        </w:rPr>
      </w:pPr>
    </w:p>
    <w:p w14:paraId="354CAC2A">
      <w:pPr>
        <w:jc w:val="left"/>
        <w:outlineLvl w:val="1"/>
        <w:rPr>
          <w:rFonts w:hint="eastAsia" w:ascii="仿宋" w:hAnsi="仿宋" w:eastAsia="仿宋" w:cs="Times New Roman"/>
          <w:b/>
          <w:sz w:val="32"/>
          <w:szCs w:val="32"/>
          <w:lang w:val="en-US" w:eastAsia="zh-CN"/>
        </w:rPr>
      </w:pPr>
    </w:p>
    <w:p w14:paraId="71AF18F1">
      <w:pPr>
        <w:jc w:val="left"/>
        <w:outlineLvl w:val="1"/>
        <w:rPr>
          <w:rFonts w:hint="eastAsia" w:ascii="仿宋" w:hAnsi="仿宋" w:eastAsia="仿宋" w:cs="Times New Roman"/>
          <w:b/>
          <w:sz w:val="32"/>
          <w:szCs w:val="32"/>
          <w:lang w:val="en-US" w:eastAsia="zh-CN"/>
        </w:rPr>
      </w:pPr>
    </w:p>
    <w:p w14:paraId="30AC78BD">
      <w:pPr>
        <w:jc w:val="left"/>
        <w:outlineLvl w:val="1"/>
        <w:rPr>
          <w:rFonts w:hint="eastAsia" w:ascii="仿宋" w:hAnsi="仿宋" w:eastAsia="仿宋" w:cs="Times New Roman"/>
          <w:b/>
          <w:sz w:val="32"/>
          <w:szCs w:val="32"/>
          <w:lang w:val="en-US" w:eastAsia="zh-CN"/>
        </w:rPr>
      </w:pPr>
    </w:p>
    <w:p w14:paraId="0DE8EA80">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6"/>
      </w:pPr>
    </w:p>
    <w:p w14:paraId="24C96315">
      <w:pPr>
        <w:pStyle w:val="6"/>
      </w:pPr>
    </w:p>
    <w:p w14:paraId="7CC10187">
      <w:pPr>
        <w:pStyle w:val="6"/>
      </w:pPr>
    </w:p>
    <w:p w14:paraId="370F17FF">
      <w:pPr>
        <w:pStyle w:val="6"/>
      </w:pPr>
    </w:p>
    <w:p w14:paraId="4F49DCE2">
      <w:pPr>
        <w:pStyle w:val="6"/>
      </w:pPr>
    </w:p>
    <w:p w14:paraId="7C34005B">
      <w:pPr>
        <w:pStyle w:val="6"/>
      </w:pPr>
    </w:p>
    <w:p w14:paraId="5FFA4F5A">
      <w:pPr>
        <w:pStyle w:val="6"/>
      </w:pPr>
    </w:p>
    <w:p w14:paraId="1CDE2E9F">
      <w:pPr>
        <w:pStyle w:val="6"/>
      </w:pPr>
    </w:p>
    <w:p w14:paraId="76D15524">
      <w:pPr>
        <w:pStyle w:val="6"/>
      </w:pPr>
    </w:p>
    <w:p w14:paraId="134DBBD8">
      <w:pPr>
        <w:pStyle w:val="6"/>
      </w:pPr>
    </w:p>
    <w:p w14:paraId="67CE7340">
      <w:pPr>
        <w:pStyle w:val="6"/>
      </w:pPr>
    </w:p>
    <w:p w14:paraId="1550FC44">
      <w:pPr>
        <w:pStyle w:val="6"/>
      </w:pPr>
    </w:p>
    <w:p w14:paraId="30B538CD">
      <w:pPr>
        <w:pStyle w:val="6"/>
      </w:pPr>
    </w:p>
    <w:p w14:paraId="6CB70454">
      <w:pPr>
        <w:pStyle w:val="6"/>
      </w:pPr>
    </w:p>
    <w:p w14:paraId="1EC58313">
      <w:pPr>
        <w:pStyle w:val="6"/>
      </w:pPr>
    </w:p>
    <w:p w14:paraId="46995F7F">
      <w:pPr>
        <w:pStyle w:val="6"/>
      </w:pPr>
    </w:p>
    <w:p w14:paraId="30CE1280">
      <w:pPr>
        <w:pStyle w:val="6"/>
      </w:pPr>
    </w:p>
    <w:p w14:paraId="6CC6FFA9">
      <w:pPr>
        <w:pStyle w:val="6"/>
      </w:pPr>
    </w:p>
    <w:p w14:paraId="19034583">
      <w:pPr>
        <w:pStyle w:val="6"/>
      </w:pPr>
    </w:p>
    <w:p w14:paraId="2001A37E">
      <w:pPr>
        <w:pStyle w:val="6"/>
      </w:pPr>
    </w:p>
    <w:p w14:paraId="64B814F5">
      <w:pPr>
        <w:pStyle w:val="6"/>
      </w:pPr>
    </w:p>
    <w:p w14:paraId="05E0F8B1">
      <w:pPr>
        <w:pStyle w:val="6"/>
      </w:pPr>
    </w:p>
    <w:p w14:paraId="6754634D">
      <w:pPr>
        <w:pStyle w:val="6"/>
      </w:pPr>
    </w:p>
    <w:p w14:paraId="2BA112F2">
      <w:pPr>
        <w:pStyle w:val="6"/>
      </w:pPr>
    </w:p>
    <w:p w14:paraId="3B412973">
      <w:pPr>
        <w:pStyle w:val="6"/>
      </w:pPr>
    </w:p>
    <w:p w14:paraId="0C4ACD0C">
      <w:pPr>
        <w:pStyle w:val="6"/>
      </w:pPr>
    </w:p>
    <w:p w14:paraId="2BD0605E">
      <w:pPr>
        <w:pStyle w:val="6"/>
      </w:pPr>
    </w:p>
    <w:p w14:paraId="291EC429">
      <w:pPr>
        <w:pStyle w:val="6"/>
      </w:pPr>
    </w:p>
    <w:p w14:paraId="7AEAFC8E">
      <w:pPr>
        <w:pStyle w:val="6"/>
      </w:pPr>
    </w:p>
    <w:p w14:paraId="6ECE1708">
      <w:pPr>
        <w:pStyle w:val="6"/>
      </w:pPr>
    </w:p>
    <w:p w14:paraId="7BE08999">
      <w:pPr>
        <w:pStyle w:val="6"/>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6"/>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6"/>
        <w:jc w:val="center"/>
        <w:rPr>
          <w:b/>
          <w:color w:val="FF0000"/>
        </w:rPr>
      </w:pPr>
    </w:p>
    <w:p w14:paraId="56C6DD38">
      <w:pPr>
        <w:pStyle w:val="6"/>
        <w:jc w:val="center"/>
        <w:rPr>
          <w:b/>
          <w:color w:val="FF0000"/>
        </w:rPr>
      </w:pPr>
    </w:p>
    <w:p w14:paraId="5089C3AD">
      <w:pPr>
        <w:pStyle w:val="6"/>
        <w:jc w:val="center"/>
        <w:rPr>
          <w:b/>
          <w:color w:val="FF0000"/>
        </w:rPr>
      </w:pPr>
    </w:p>
    <w:p w14:paraId="0D88FCB3">
      <w:pPr>
        <w:pStyle w:val="6"/>
        <w:jc w:val="center"/>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135740A">
      <w:pPr>
        <w:spacing w:after="120"/>
      </w:pP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2835"/>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2835"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让利率</w:t>
            </w:r>
            <w:r>
              <w:rPr>
                <w:rFonts w:ascii="仿宋" w:hAnsi="仿宋" w:eastAsia="仿宋" w:cs="Arial"/>
                <w:bCs/>
                <w:sz w:val="30"/>
                <w:szCs w:val="30"/>
              </w:rPr>
              <w:t>（</w:t>
            </w:r>
            <w:r>
              <w:rPr>
                <w:rFonts w:hint="eastAsia" w:ascii="仿宋" w:hAnsi="仿宋" w:eastAsia="仿宋" w:cs="Arial"/>
                <w:bCs/>
                <w:sz w:val="30"/>
                <w:szCs w:val="30"/>
                <w:lang w:val="en-US" w:eastAsia="zh-CN"/>
              </w:rPr>
              <w:t>%</w:t>
            </w:r>
            <w:r>
              <w:rPr>
                <w:rFonts w:ascii="仿宋" w:hAnsi="仿宋" w:eastAsia="仿宋" w:cs="Arial"/>
                <w:bCs/>
                <w:sz w:val="30"/>
                <w:szCs w:val="30"/>
              </w:rPr>
              <w:t>）</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6D88F2B6">
            <w:pPr>
              <w:spacing w:line="360" w:lineRule="exact"/>
              <w:jc w:val="center"/>
              <w:rPr>
                <w:rFonts w:hint="eastAsia" w:ascii="仿宋" w:hAnsi="仿宋" w:eastAsia="仿宋" w:cs="Arial"/>
                <w:bCs/>
                <w:sz w:val="30"/>
                <w:szCs w:val="30"/>
                <w:lang w:val="en-US" w:eastAsia="zh-CN"/>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14:paraId="311F0F6A">
            <w:pPr>
              <w:pStyle w:val="5"/>
              <w:rPr>
                <w:rFonts w:hint="eastAsia" w:ascii="仿宋" w:hAnsi="仿宋" w:eastAsia="仿宋" w:cs="Arial"/>
                <w:bCs/>
                <w:kern w:val="2"/>
                <w:sz w:val="30"/>
                <w:szCs w:val="30"/>
                <w:lang w:val="en-US" w:eastAsia="zh-CN" w:bidi="ar-SA"/>
              </w:rPr>
            </w:pPr>
            <w:r>
              <w:rPr>
                <w:rFonts w:hint="eastAsia" w:ascii="仿宋" w:hAnsi="仿宋" w:eastAsia="仿宋" w:cs="Arial"/>
                <w:bCs/>
                <w:kern w:val="2"/>
                <w:sz w:val="30"/>
                <w:szCs w:val="30"/>
                <w:lang w:val="en-US" w:eastAsia="zh-CN" w:bidi="ar-SA"/>
              </w:rPr>
              <w:t>最终报价让利率</w:t>
            </w:r>
            <w:r>
              <w:rPr>
                <w:rFonts w:hint="eastAsia" w:ascii="仿宋" w:hAnsi="仿宋" w:eastAsia="仿宋" w:cs="Arial"/>
                <w:bCs/>
                <w:kern w:val="2"/>
                <w:sz w:val="30"/>
                <w:szCs w:val="30"/>
                <w:u w:val="single"/>
                <w:lang w:val="en-US" w:eastAsia="zh-CN" w:bidi="ar-SA"/>
              </w:rPr>
              <w:t xml:space="preserve">    </w:t>
            </w:r>
            <w:r>
              <w:rPr>
                <w:rFonts w:hint="eastAsia" w:ascii="仿宋" w:hAnsi="仿宋" w:eastAsia="仿宋" w:cs="Arial"/>
                <w:bCs/>
                <w:kern w:val="2"/>
                <w:sz w:val="30"/>
                <w:szCs w:val="30"/>
                <w:lang w:val="en-US" w:eastAsia="zh-CN" w:bidi="ar-SA"/>
              </w:rPr>
              <w:t>%</w:t>
            </w:r>
          </w:p>
          <w:p w14:paraId="24879378">
            <w:pPr>
              <w:spacing w:line="360" w:lineRule="auto"/>
              <w:jc w:val="left"/>
              <w:rPr>
                <w:rFonts w:ascii="仿宋" w:hAnsi="仿宋" w:eastAsia="仿宋" w:cs="Arial"/>
                <w:bCs/>
                <w:sz w:val="30"/>
                <w:szCs w:val="30"/>
              </w:rPr>
            </w:pPr>
            <w:r>
              <w:rPr>
                <w:rFonts w:hint="eastAsia" w:ascii="仿宋" w:hAnsi="仿宋" w:eastAsia="仿宋" w:cs="Arial"/>
                <w:bCs/>
                <w:kern w:val="2"/>
                <w:sz w:val="30"/>
                <w:szCs w:val="30"/>
                <w:lang w:val="en-US" w:eastAsia="zh-CN" w:bidi="ar-SA"/>
              </w:rPr>
              <w:t>注：</w:t>
            </w:r>
            <w:r>
              <w:rPr>
                <w:rFonts w:hint="eastAsia" w:ascii="仿宋" w:hAnsi="仿宋" w:eastAsia="仿宋" w:cs="Arial"/>
                <w:bCs/>
                <w:sz w:val="30"/>
                <w:szCs w:val="30"/>
                <w:lang w:val="en-US" w:eastAsia="zh-CN"/>
              </w:rPr>
              <w:t>按让利率报价，让利率最高者中标。</w:t>
            </w:r>
            <w:r>
              <w:rPr>
                <w:rFonts w:hint="eastAsia" w:ascii="仿宋" w:hAnsi="仿宋" w:eastAsia="仿宋" w:cs="Arial"/>
                <w:bCs/>
                <w:kern w:val="2"/>
                <w:sz w:val="30"/>
                <w:szCs w:val="30"/>
                <w:lang w:val="en-US" w:eastAsia="zh-CN" w:bidi="ar-SA"/>
              </w:rPr>
              <w:t>服务期内让利率固定不变，不因人工、物价、市场波动而调整。</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tcBorders>
            <w:vAlign w:val="center"/>
          </w:tcPr>
          <w:p w14:paraId="72ED0751">
            <w:pPr>
              <w:numPr>
                <w:ilvl w:val="0"/>
                <w:numId w:val="0"/>
              </w:numPr>
              <w:spacing w:line="360" w:lineRule="auto"/>
              <w:jc w:val="left"/>
              <w:rPr>
                <w:rFonts w:hint="eastAsia" w:ascii="仿宋" w:hAnsi="仿宋" w:eastAsia="仿宋" w:cs="Arial"/>
                <w:b/>
                <w:bCs/>
                <w:sz w:val="30"/>
                <w:szCs w:val="30"/>
              </w:rPr>
            </w:pPr>
            <w:r>
              <w:rPr>
                <w:rFonts w:hint="eastAsia" w:ascii="仿宋" w:hAnsi="仿宋" w:eastAsia="仿宋" w:cs="Arial"/>
                <w:bCs/>
                <w:kern w:val="2"/>
                <w:sz w:val="30"/>
                <w:szCs w:val="30"/>
                <w:lang w:val="en-US" w:eastAsia="zh-CN" w:bidi="ar-SA"/>
              </w:rPr>
              <w:t>服务期限：自合同签订之日起一年（或结算金额达到上限4万元自动终止）</w:t>
            </w:r>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66DDACA8">
      <w:pPr>
        <w:spacing w:after="120"/>
        <w:jc w:val="left"/>
        <w:rPr>
          <w:rFonts w:ascii="宋体" w:hAnsi="宋体" w:cs="宋体"/>
          <w:b/>
          <w:sz w:val="28"/>
        </w:rPr>
      </w:pPr>
    </w:p>
    <w:p w14:paraId="6EEBB619">
      <w:pPr>
        <w:spacing w:after="120"/>
        <w:jc w:val="left"/>
        <w:rPr>
          <w:rFonts w:ascii="宋体" w:hAnsi="宋体" w:cs="宋体"/>
          <w:b/>
          <w:sz w:val="28"/>
        </w:rPr>
      </w:pPr>
    </w:p>
    <w:p w14:paraId="78578433">
      <w:pPr>
        <w:pStyle w:val="6"/>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173211900"/>
            <w:bookmarkStart w:id="6" w:name="_Toc171349578"/>
            <w:bookmarkStart w:id="7" w:name="_Toc254970588"/>
            <w:bookmarkStart w:id="8" w:name="_Toc405905876"/>
            <w:bookmarkStart w:id="9" w:name="_Toc173066401"/>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405905879"/>
            <w:bookmarkStart w:id="12" w:name="_Toc173066404"/>
            <w:bookmarkStart w:id="13" w:name="_Toc173211903"/>
            <w:bookmarkStart w:id="14" w:name="_Toc254970591"/>
            <w:bookmarkStart w:id="15" w:name="_Toc171349581"/>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173066405"/>
            <w:bookmarkStart w:id="18" w:name="_Toc405905880"/>
            <w:bookmarkStart w:id="19" w:name="_Toc254970592"/>
            <w:bookmarkStart w:id="20" w:name="_Toc171349582"/>
            <w:bookmarkStart w:id="21" w:name="_Toc173211904"/>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254970593"/>
            <w:bookmarkStart w:id="26" w:name="_Toc254970734"/>
            <w:bookmarkStart w:id="27" w:name="_Toc173211905"/>
            <w:bookmarkStart w:id="28" w:name="_Toc173066406"/>
            <w:bookmarkStart w:id="29" w:name="_Toc171349584"/>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173066407"/>
            <w:bookmarkStart w:id="32" w:name="_Toc254970735"/>
            <w:bookmarkStart w:id="33" w:name="_Toc173211906"/>
            <w:bookmarkStart w:id="34" w:name="_Toc405905883"/>
            <w:bookmarkStart w:id="35" w:name="_Toc171349585"/>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37" w:name="_Toc173211907"/>
            <w:bookmarkStart w:id="38" w:name="_Toc171349586"/>
            <w:bookmarkStart w:id="39" w:name="_Toc254970595"/>
            <w:bookmarkStart w:id="40" w:name="_Toc173066408"/>
            <w:bookmarkStart w:id="41" w:name="_Toc405905884"/>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服务内容部分</w:t>
            </w:r>
            <w:bookmarkEnd w:id="45"/>
            <w:bookmarkEnd w:id="46"/>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44E30FA">
      <w:pPr>
        <w:spacing w:after="120"/>
        <w:jc w:val="left"/>
        <w:rPr>
          <w:b/>
          <w:color w:val="FF0000"/>
        </w:rPr>
      </w:pPr>
      <w:r>
        <w:rPr>
          <w:rFonts w:hint="eastAsia" w:ascii="宋体" w:hAnsi="宋体" w:cs="宋体"/>
          <w:b/>
          <w:sz w:val="24"/>
          <w:szCs w:val="24"/>
        </w:rPr>
        <w:t xml:space="preserve">      　　　　　　　　　　　　　                           日期：   年  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580A6"/>
    <w:multiLevelType w:val="singleLevel"/>
    <w:tmpl w:val="F13580A6"/>
    <w:lvl w:ilvl="0" w:tentative="0">
      <w:start w:val="4"/>
      <w:numFmt w:val="decimal"/>
      <w:suff w:val="nothing"/>
      <w:lvlText w:val="(%1）"/>
      <w:lvlJc w:val="left"/>
    </w:lvl>
  </w:abstractNum>
  <w:abstractNum w:abstractNumId="1">
    <w:nsid w:val="053EDD27"/>
    <w:multiLevelType w:val="singleLevel"/>
    <w:tmpl w:val="053EDD27"/>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3D079134"/>
    <w:multiLevelType w:val="singleLevel"/>
    <w:tmpl w:val="3D079134"/>
    <w:lvl w:ilvl="0" w:tentative="0">
      <w:start w:val="1"/>
      <w:numFmt w:val="decimal"/>
      <w:lvlText w:val="%1."/>
      <w:lvlJc w:val="left"/>
      <w:pPr>
        <w:tabs>
          <w:tab w:val="left" w:pos="312"/>
        </w:tabs>
      </w:pPr>
    </w:lvl>
  </w:abstractNum>
  <w:abstractNum w:abstractNumId="4">
    <w:nsid w:val="61C31ECF"/>
    <w:multiLevelType w:val="singleLevel"/>
    <w:tmpl w:val="61C31ECF"/>
    <w:lvl w:ilvl="0" w:tentative="0">
      <w:start w:val="2"/>
      <w:numFmt w:val="chineseCounting"/>
      <w:suff w:val="nothing"/>
      <w:lvlText w:val="%1、"/>
      <w:lvlJc w:val="left"/>
      <w:rPr>
        <w:rFonts w:hint="eastAsia"/>
      </w:rPr>
    </w:lvl>
  </w:abstractNum>
  <w:abstractNum w:abstractNumId="5">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6846916"/>
    <w:rsid w:val="06C40151"/>
    <w:rsid w:val="07A64A67"/>
    <w:rsid w:val="09F75761"/>
    <w:rsid w:val="0C8A7403"/>
    <w:rsid w:val="0F2F63D9"/>
    <w:rsid w:val="0FB37347"/>
    <w:rsid w:val="120B7BE2"/>
    <w:rsid w:val="1302311F"/>
    <w:rsid w:val="132D27DF"/>
    <w:rsid w:val="14272EA2"/>
    <w:rsid w:val="148759AD"/>
    <w:rsid w:val="149253FF"/>
    <w:rsid w:val="14AB5ED6"/>
    <w:rsid w:val="17CC70FE"/>
    <w:rsid w:val="184743D9"/>
    <w:rsid w:val="187B4AB8"/>
    <w:rsid w:val="18EA76D6"/>
    <w:rsid w:val="1DDA151B"/>
    <w:rsid w:val="1F5F475E"/>
    <w:rsid w:val="208E54ED"/>
    <w:rsid w:val="209220EC"/>
    <w:rsid w:val="21A86B2D"/>
    <w:rsid w:val="23F830B3"/>
    <w:rsid w:val="25923F4D"/>
    <w:rsid w:val="25C93DBB"/>
    <w:rsid w:val="27676DAE"/>
    <w:rsid w:val="27AA7668"/>
    <w:rsid w:val="27CA3F81"/>
    <w:rsid w:val="28DF530A"/>
    <w:rsid w:val="292F766C"/>
    <w:rsid w:val="29790ABB"/>
    <w:rsid w:val="2F5C246D"/>
    <w:rsid w:val="30EE5C11"/>
    <w:rsid w:val="32701F68"/>
    <w:rsid w:val="33B20B2C"/>
    <w:rsid w:val="34904C1F"/>
    <w:rsid w:val="35686C87"/>
    <w:rsid w:val="364A5795"/>
    <w:rsid w:val="36E21052"/>
    <w:rsid w:val="377D6A9C"/>
    <w:rsid w:val="388127A4"/>
    <w:rsid w:val="3A4A0C98"/>
    <w:rsid w:val="3B82520A"/>
    <w:rsid w:val="3E16093B"/>
    <w:rsid w:val="40014ABD"/>
    <w:rsid w:val="42C57F36"/>
    <w:rsid w:val="43946EA8"/>
    <w:rsid w:val="43B126D6"/>
    <w:rsid w:val="44B80AE3"/>
    <w:rsid w:val="46995568"/>
    <w:rsid w:val="47EC741F"/>
    <w:rsid w:val="480E62CF"/>
    <w:rsid w:val="48E11081"/>
    <w:rsid w:val="49790D27"/>
    <w:rsid w:val="4E3C51A6"/>
    <w:rsid w:val="4EA57F5B"/>
    <w:rsid w:val="4F475660"/>
    <w:rsid w:val="4F91042F"/>
    <w:rsid w:val="4FA77CEC"/>
    <w:rsid w:val="4FDD51EF"/>
    <w:rsid w:val="534B409A"/>
    <w:rsid w:val="54A6047C"/>
    <w:rsid w:val="56924B18"/>
    <w:rsid w:val="575F02D9"/>
    <w:rsid w:val="57F16502"/>
    <w:rsid w:val="58091DB8"/>
    <w:rsid w:val="5922789C"/>
    <w:rsid w:val="5A0C5980"/>
    <w:rsid w:val="5ABB2BF9"/>
    <w:rsid w:val="5D2154B5"/>
    <w:rsid w:val="5D2748E5"/>
    <w:rsid w:val="5EEF528C"/>
    <w:rsid w:val="5FAC7A2F"/>
    <w:rsid w:val="613C578C"/>
    <w:rsid w:val="61ED393D"/>
    <w:rsid w:val="62B17A6B"/>
    <w:rsid w:val="62F91608"/>
    <w:rsid w:val="635737F1"/>
    <w:rsid w:val="6595274A"/>
    <w:rsid w:val="68243590"/>
    <w:rsid w:val="68550316"/>
    <w:rsid w:val="68BE13CF"/>
    <w:rsid w:val="6BA77A57"/>
    <w:rsid w:val="6D921163"/>
    <w:rsid w:val="6EB16BDF"/>
    <w:rsid w:val="6F16174A"/>
    <w:rsid w:val="6FB94E90"/>
    <w:rsid w:val="70FB14A4"/>
    <w:rsid w:val="72E53D7C"/>
    <w:rsid w:val="72F97BB3"/>
    <w:rsid w:val="74304FCC"/>
    <w:rsid w:val="74BC16CF"/>
    <w:rsid w:val="74E76471"/>
    <w:rsid w:val="75023CF6"/>
    <w:rsid w:val="77D61299"/>
    <w:rsid w:val="795D134B"/>
    <w:rsid w:val="7AD14C6A"/>
    <w:rsid w:val="7B581EAA"/>
    <w:rsid w:val="7BEC1388"/>
    <w:rsid w:val="7C620762"/>
    <w:rsid w:val="7C8E1557"/>
    <w:rsid w:val="7EFB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0"/>
    <w:pPr>
      <w:ind w:firstLine="420"/>
    </w:pPr>
    <w:rPr>
      <w:kern w:val="0"/>
      <w:sz w:val="20"/>
      <w:szCs w:val="20"/>
    </w:rPr>
  </w:style>
  <w:style w:type="paragraph" w:styleId="5">
    <w:name w:val="annotation text"/>
    <w:basedOn w:val="1"/>
    <w:link w:val="30"/>
    <w:semiHidden/>
    <w:unhideWhenUsed/>
    <w:qFormat/>
    <w:uiPriority w:val="99"/>
    <w:pPr>
      <w:jc w:val="left"/>
    </w:pPr>
  </w:style>
  <w:style w:type="paragraph" w:styleId="6">
    <w:name w:val="Body Text"/>
    <w:basedOn w:val="1"/>
    <w:link w:val="32"/>
    <w:unhideWhenUsed/>
    <w:qFormat/>
    <w:uiPriority w:val="99"/>
    <w:pPr>
      <w:spacing w:after="120"/>
    </w:pPr>
  </w:style>
  <w:style w:type="paragraph" w:styleId="7">
    <w:name w:val="Plain Text"/>
    <w:basedOn w:val="1"/>
    <w:next w:val="8"/>
    <w:link w:val="23"/>
    <w:unhideWhenUsed/>
    <w:qFormat/>
    <w:uiPriority w:val="99"/>
    <w:rPr>
      <w:rFonts w:ascii="宋体" w:hAnsi="Courier New"/>
    </w:rPr>
  </w:style>
  <w:style w:type="paragraph" w:styleId="8">
    <w:name w:val="Date"/>
    <w:basedOn w:val="1"/>
    <w:next w:val="1"/>
    <w:link w:val="24"/>
    <w:semiHidden/>
    <w:unhideWhenUsed/>
    <w:qFormat/>
    <w:uiPriority w:val="99"/>
    <w:pPr>
      <w:ind w:left="100" w:leftChars="25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批注框文本 Char"/>
    <w:basedOn w:val="15"/>
    <w:link w:val="9"/>
    <w:semiHidden/>
    <w:qFormat/>
    <w:uiPriority w:val="99"/>
    <w:rPr>
      <w:sz w:val="18"/>
      <w:szCs w:val="18"/>
    </w:rPr>
  </w:style>
  <w:style w:type="character" w:customStyle="1" w:styleId="23">
    <w:name w:val="纯文本 Char"/>
    <w:basedOn w:val="15"/>
    <w:link w:val="7"/>
    <w:qFormat/>
    <w:uiPriority w:val="99"/>
    <w:rPr>
      <w:rFonts w:ascii="宋体" w:hAnsi="Courier New"/>
      <w:kern w:val="2"/>
      <w:sz w:val="21"/>
      <w:szCs w:val="22"/>
    </w:rPr>
  </w:style>
  <w:style w:type="character" w:customStyle="1" w:styleId="24">
    <w:name w:val="日期 Char"/>
    <w:basedOn w:val="15"/>
    <w:link w:val="8"/>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5"/>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6"/>
    <w:qFormat/>
    <w:uiPriority w:val="99"/>
    <w:rPr>
      <w:kern w:val="2"/>
      <w:sz w:val="21"/>
      <w:szCs w:val="22"/>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4">
    <w:name w:val="标题2"/>
    <w:basedOn w:val="1"/>
    <w:next w:val="1"/>
    <w:qFormat/>
    <w:uiPriority w:val="0"/>
    <w:pPr>
      <w:ind w:firstLine="0" w:firstLineChars="0"/>
      <w:outlineLvl w:val="1"/>
    </w:pPr>
    <w:rPr>
      <w:b/>
    </w:rPr>
  </w:style>
  <w:style w:type="paragraph" w:styleId="35">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6">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7071</Words>
  <Characters>7215</Characters>
  <Lines>37</Lines>
  <Paragraphs>10</Paragraphs>
  <TotalTime>9</TotalTime>
  <ScaleCrop>false</ScaleCrop>
  <LinksUpToDate>false</LinksUpToDate>
  <CharactersWithSpaces>8439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2026-07-13T02:48:24Z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164D07F4516D463B80E54DBB79FBD615_13</vt:lpwstr>
  </property>
  <property fmtid="{D5CDD505-2E9C-101B-9397-08002B2CF9AE}" pid="4" name="KSOTemplateDocerSaveRecord">
    <vt:lpwstr>eyJoZGlkIjoiMDQ0ZTdmOTFlZjc0OWU0NDhmMzA1YTM2NmI5MDg1MzIiLCJ1c2VySWQiOiI0MDk0NTEyMTIifQ==</vt:lpwstr>
  </property>
</Properties>
</file>