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23AC41B4">
      <w:pPr>
        <w:spacing w:line="520" w:lineRule="exact"/>
        <w:jc w:val="center"/>
        <w:rPr>
          <w:rFonts w:hint="eastAsia" w:ascii="Arial" w:hAnsi="Arial" w:cs="Arial" w:eastAsiaTheme="minorEastAsia"/>
          <w:b/>
          <w:sz w:val="28"/>
          <w:szCs w:val="32"/>
          <w:lang w:eastAsia="zh-CN"/>
        </w:rPr>
      </w:pPr>
      <w:r>
        <w:rPr>
          <w:rFonts w:ascii="Arial" w:hAnsi="Arial" w:cs="Arial"/>
          <w:b/>
          <w:kern w:val="0"/>
          <w:sz w:val="28"/>
          <w:szCs w:val="32"/>
          <w:lang w:bidi="en-US"/>
        </w:rPr>
        <w:t>柳州职业技术</w:t>
      </w:r>
      <w:r>
        <w:rPr>
          <w:rFonts w:hint="eastAsia" w:ascii="Arial" w:hAnsi="Arial" w:cs="Arial"/>
          <w:b/>
          <w:kern w:val="0"/>
          <w:sz w:val="28"/>
          <w:szCs w:val="32"/>
          <w:lang w:bidi="en-US"/>
        </w:rPr>
        <w:t>大学</w:t>
      </w:r>
      <w:r>
        <w:rPr>
          <w:rFonts w:hint="eastAsia" w:ascii="Arial" w:hAnsi="Arial" w:cs="Arial"/>
          <w:b/>
          <w:sz w:val="28"/>
          <w:szCs w:val="32"/>
        </w:rPr>
        <w:t>产教融合信息服务平台建设采购项目</w:t>
      </w:r>
      <w:r>
        <w:rPr>
          <w:rFonts w:ascii="Arial" w:hAnsi="Arial" w:cs="Arial"/>
          <w:b/>
          <w:sz w:val="28"/>
          <w:szCs w:val="32"/>
        </w:rPr>
        <w:t>询价采购公告</w:t>
      </w:r>
    </w:p>
    <w:p w14:paraId="163FA81C">
      <w:pPr>
        <w:widowControl/>
        <w:spacing w:after="200" w:line="276" w:lineRule="auto"/>
        <w:ind w:firstLine="1100" w:firstLineChars="500"/>
        <w:jc w:val="left"/>
        <w:rPr>
          <w:rFonts w:ascii="Arial" w:hAnsi="Arial" w:cs="Arial"/>
          <w:kern w:val="0"/>
          <w:sz w:val="22"/>
          <w:szCs w:val="24"/>
          <w:lang w:bidi="en-US"/>
        </w:rPr>
      </w:pPr>
      <w:r>
        <w:rPr>
          <w:rFonts w:ascii="Arial" w:hAnsi="Arial" w:cs="Arial"/>
          <w:kern w:val="0"/>
          <w:sz w:val="22"/>
          <w:szCs w:val="24"/>
          <w:lang w:bidi="en-US"/>
        </w:rPr>
        <w:t>采购编号：</w:t>
      </w:r>
      <w:r>
        <w:rPr>
          <w:rFonts w:hint="eastAsia" w:ascii="Arial" w:hAnsi="Arial" w:cs="Arial"/>
          <w:b/>
          <w:kern w:val="0"/>
          <w:sz w:val="22"/>
          <w:szCs w:val="24"/>
          <w:lang w:val="en-US" w:eastAsia="zh-CN" w:bidi="en-US"/>
        </w:rPr>
        <w:t>LZPU</w:t>
      </w:r>
      <w:r>
        <w:rPr>
          <w:rFonts w:hint="eastAsia" w:ascii="Arial" w:hAnsi="Arial" w:cs="Arial"/>
          <w:b/>
          <w:kern w:val="0"/>
          <w:sz w:val="22"/>
          <w:szCs w:val="24"/>
          <w:lang w:bidi="en-US"/>
        </w:rPr>
        <w:t>202</w:t>
      </w:r>
      <w:r>
        <w:rPr>
          <w:rFonts w:hint="eastAsia" w:ascii="Arial" w:hAnsi="Arial" w:cs="Arial"/>
          <w:b/>
          <w:kern w:val="0"/>
          <w:sz w:val="22"/>
          <w:szCs w:val="24"/>
          <w:lang w:val="en-US" w:eastAsia="zh-CN" w:bidi="en-US"/>
        </w:rPr>
        <w:t>6</w:t>
      </w:r>
      <w:r>
        <w:rPr>
          <w:rFonts w:hint="eastAsia" w:ascii="Arial" w:hAnsi="Arial" w:cs="Arial"/>
          <w:b/>
          <w:kern w:val="0"/>
          <w:sz w:val="22"/>
          <w:szCs w:val="24"/>
          <w:lang w:bidi="en-US"/>
        </w:rPr>
        <w:t>-</w:t>
      </w:r>
      <w:r>
        <w:rPr>
          <w:rFonts w:hint="eastAsia" w:ascii="Arial" w:hAnsi="Arial" w:cs="Arial"/>
          <w:b/>
          <w:kern w:val="0"/>
          <w:sz w:val="22"/>
          <w:szCs w:val="24"/>
          <w:lang w:val="en-US" w:eastAsia="zh-CN" w:bidi="en-US"/>
        </w:rPr>
        <w:t>33</w:t>
      </w:r>
      <w:r>
        <w:rPr>
          <w:rFonts w:ascii="Arial" w:hAnsi="Arial" w:cs="Arial"/>
          <w:kern w:val="0"/>
          <w:sz w:val="22"/>
          <w:szCs w:val="24"/>
          <w:lang w:bidi="en-US"/>
        </w:rPr>
        <w:t xml:space="preserve">                              发布日期：</w:t>
      </w:r>
      <w:r>
        <w:rPr>
          <w:rFonts w:hint="eastAsia" w:ascii="Arial" w:hAnsi="Arial" w:cs="Arial"/>
          <w:b/>
          <w:kern w:val="0"/>
          <w:sz w:val="22"/>
          <w:szCs w:val="24"/>
          <w:lang w:bidi="en-US"/>
        </w:rPr>
        <w:t>202</w:t>
      </w:r>
      <w:r>
        <w:rPr>
          <w:rFonts w:hint="eastAsia" w:ascii="Arial" w:hAnsi="Arial" w:cs="Arial"/>
          <w:b/>
          <w:kern w:val="0"/>
          <w:sz w:val="22"/>
          <w:szCs w:val="24"/>
          <w:lang w:val="en-US" w:eastAsia="zh-CN" w:bidi="en-US"/>
        </w:rPr>
        <w:t>6</w:t>
      </w:r>
      <w:r>
        <w:rPr>
          <w:rFonts w:hint="eastAsia" w:ascii="Arial" w:hAnsi="Arial" w:cs="Arial"/>
          <w:b/>
          <w:kern w:val="0"/>
          <w:sz w:val="22"/>
          <w:szCs w:val="24"/>
          <w:lang w:bidi="en-US"/>
        </w:rPr>
        <w:t>年</w:t>
      </w:r>
      <w:r>
        <w:rPr>
          <w:rFonts w:hint="eastAsia" w:ascii="Arial" w:hAnsi="Arial" w:cs="Arial"/>
          <w:b/>
          <w:kern w:val="0"/>
          <w:sz w:val="22"/>
          <w:szCs w:val="24"/>
          <w:lang w:val="en-US" w:eastAsia="zh-CN" w:bidi="en-US"/>
        </w:rPr>
        <w:t>9</w:t>
      </w:r>
      <w:r>
        <w:rPr>
          <w:rFonts w:hint="eastAsia" w:ascii="Arial" w:hAnsi="Arial" w:cs="Arial"/>
          <w:b/>
          <w:kern w:val="0"/>
          <w:sz w:val="22"/>
          <w:szCs w:val="24"/>
          <w:lang w:bidi="en-US"/>
        </w:rPr>
        <w:t>月</w:t>
      </w:r>
      <w:r>
        <w:rPr>
          <w:rFonts w:hint="eastAsia" w:ascii="Arial" w:hAnsi="Arial" w:cs="Arial"/>
          <w:b/>
          <w:kern w:val="0"/>
          <w:sz w:val="22"/>
          <w:szCs w:val="24"/>
          <w:lang w:val="en-US" w:eastAsia="zh-CN" w:bidi="en-US"/>
        </w:rPr>
        <w:t>24</w:t>
      </w:r>
      <w:r>
        <w:rPr>
          <w:rFonts w:hint="eastAsia" w:ascii="Arial" w:hAnsi="Arial" w:cs="Arial"/>
          <w:b/>
          <w:kern w:val="0"/>
          <w:sz w:val="22"/>
          <w:szCs w:val="24"/>
          <w:lang w:bidi="en-US"/>
        </w:rPr>
        <w:t>日</w:t>
      </w:r>
    </w:p>
    <w:p w14:paraId="075D870F">
      <w:pPr>
        <w:numPr>
          <w:ilvl w:val="0"/>
          <w:numId w:val="1"/>
        </w:numPr>
        <w:spacing w:line="520" w:lineRule="exact"/>
        <w:rPr>
          <w:rFonts w:ascii="Arial" w:hAnsi="Arial" w:cs="Arial"/>
          <w:bCs/>
          <w:kern w:val="0"/>
          <w:sz w:val="24"/>
          <w:szCs w:val="28"/>
          <w:lang w:bidi="en-US"/>
        </w:rPr>
      </w:pPr>
      <w:r>
        <w:rPr>
          <w:rFonts w:ascii="Arial" w:hAnsi="Arial" w:cs="Arial"/>
          <w:bCs/>
          <w:kern w:val="0"/>
          <w:sz w:val="24"/>
          <w:szCs w:val="28"/>
          <w:lang w:bidi="en-US"/>
        </w:rPr>
        <w:t>项目名称：</w:t>
      </w:r>
      <w:r>
        <w:rPr>
          <w:rFonts w:hint="eastAsia" w:ascii="Arial" w:hAnsi="Arial" w:cs="Arial"/>
          <w:bCs/>
          <w:kern w:val="0"/>
          <w:sz w:val="24"/>
          <w:szCs w:val="28"/>
          <w:lang w:bidi="en-US"/>
        </w:rPr>
        <w:t>产教融合信息服务平台建设采购</w:t>
      </w:r>
    </w:p>
    <w:p w14:paraId="4F39A208">
      <w:pPr>
        <w:numPr>
          <w:ilvl w:val="0"/>
          <w:numId w:val="1"/>
        </w:numPr>
        <w:spacing w:line="520" w:lineRule="exact"/>
        <w:rPr>
          <w:rFonts w:hint="eastAsia" w:ascii="Arial" w:hAnsi="Arial" w:cs="Arial"/>
          <w:bCs/>
          <w:color w:val="auto"/>
          <w:kern w:val="0"/>
          <w:sz w:val="24"/>
          <w:szCs w:val="28"/>
          <w:lang w:val="en-US" w:eastAsia="zh-CN" w:bidi="en-US"/>
        </w:rPr>
      </w:pPr>
      <w:r>
        <w:rPr>
          <w:rFonts w:ascii="Arial" w:hAnsi="Arial" w:cs="Arial"/>
          <w:bCs/>
          <w:kern w:val="0"/>
          <w:sz w:val="24"/>
          <w:szCs w:val="28"/>
          <w:lang w:bidi="en-US"/>
        </w:rPr>
        <w:t>询价采购</w:t>
      </w:r>
      <w:r>
        <w:rPr>
          <w:rFonts w:ascii="Arial" w:hAnsi="Arial" w:cs="Arial"/>
          <w:bCs/>
          <w:color w:val="auto"/>
          <w:kern w:val="0"/>
          <w:sz w:val="24"/>
          <w:szCs w:val="28"/>
          <w:lang w:bidi="en-US"/>
        </w:rPr>
        <w:t>项目预算金额：（人民币大写）</w:t>
      </w:r>
      <w:r>
        <w:rPr>
          <w:rFonts w:hint="eastAsia" w:ascii="Arial" w:hAnsi="Arial" w:cs="Arial"/>
          <w:bCs/>
          <w:color w:val="auto"/>
          <w:kern w:val="0"/>
          <w:sz w:val="24"/>
          <w:szCs w:val="28"/>
          <w:lang w:val="en-US" w:eastAsia="zh-CN" w:bidi="en-US"/>
        </w:rPr>
        <w:t>玖万捌仟伍佰元整（¥98500.00）</w:t>
      </w:r>
    </w:p>
    <w:p w14:paraId="7B24866B">
      <w:pPr>
        <w:numPr>
          <w:ilvl w:val="0"/>
          <w:numId w:val="1"/>
        </w:numPr>
        <w:spacing w:line="520" w:lineRule="exact"/>
        <w:rPr>
          <w:rFonts w:ascii="Arial" w:hAnsi="Arial" w:cs="Arial"/>
          <w:bCs/>
          <w:color w:val="auto"/>
          <w:kern w:val="0"/>
          <w:sz w:val="24"/>
          <w:szCs w:val="28"/>
          <w:lang w:bidi="en-US"/>
        </w:rPr>
      </w:pPr>
      <w:r>
        <w:rPr>
          <w:rFonts w:hint="eastAsia" w:ascii="Arial" w:hAnsi="Arial" w:cs="Arial"/>
          <w:bCs/>
          <w:color w:val="auto"/>
          <w:kern w:val="0"/>
          <w:sz w:val="24"/>
          <w:szCs w:val="28"/>
          <w:lang w:bidi="en-US"/>
        </w:rPr>
        <w:t>评标方法：综合评分法</w:t>
      </w:r>
      <w:bookmarkStart w:id="52" w:name="_GoBack"/>
      <w:bookmarkEnd w:id="52"/>
    </w:p>
    <w:p w14:paraId="48EAFC50">
      <w:pPr>
        <w:numPr>
          <w:ilvl w:val="0"/>
          <w:numId w:val="1"/>
        </w:numPr>
        <w:rPr>
          <w:rFonts w:ascii="Arial" w:hAnsi="Arial" w:cs="Arial"/>
          <w:bCs/>
          <w:kern w:val="0"/>
          <w:sz w:val="24"/>
          <w:szCs w:val="28"/>
          <w:lang w:bidi="en-US"/>
        </w:rPr>
      </w:pPr>
      <w:r>
        <w:rPr>
          <w:rFonts w:ascii="Arial" w:hAnsi="Arial" w:cs="Arial"/>
          <w:bCs/>
          <w:kern w:val="0"/>
          <w:sz w:val="24"/>
          <w:szCs w:val="28"/>
          <w:lang w:bidi="en-US"/>
        </w:rPr>
        <w:t>采购</w:t>
      </w:r>
      <w:r>
        <w:rPr>
          <w:rFonts w:hint="eastAsia" w:ascii="Arial" w:hAnsi="Arial" w:cs="Arial"/>
          <w:bCs/>
          <w:kern w:val="0"/>
          <w:sz w:val="24"/>
          <w:szCs w:val="28"/>
          <w:lang w:bidi="en-US"/>
        </w:rPr>
        <w:t>要</w:t>
      </w:r>
      <w:r>
        <w:rPr>
          <w:rFonts w:ascii="Arial" w:hAnsi="Arial" w:cs="Arial"/>
          <w:bCs/>
          <w:kern w:val="0"/>
          <w:sz w:val="24"/>
          <w:szCs w:val="28"/>
          <w:lang w:bidi="en-US"/>
        </w:rPr>
        <w:t>求</w:t>
      </w:r>
    </w:p>
    <w:p w14:paraId="75D6DB85">
      <w:pPr>
        <w:pStyle w:val="8"/>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8"/>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6"/>
        <w:gridCol w:w="851"/>
        <w:gridCol w:w="7759"/>
        <w:gridCol w:w="375"/>
        <w:gridCol w:w="465"/>
      </w:tblGrid>
      <w:tr w14:paraId="4124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16" w:type="dxa"/>
            <w:vAlign w:val="center"/>
          </w:tcPr>
          <w:p w14:paraId="23B0FEA0">
            <w:pPr>
              <w:widowControl/>
              <w:jc w:val="center"/>
              <w:rPr>
                <w:rFonts w:ascii="Arial" w:hAnsi="Arial" w:cs="Arial"/>
                <w:color w:val="000000"/>
                <w:kern w:val="0"/>
                <w:szCs w:val="21"/>
              </w:rPr>
            </w:pPr>
            <w:r>
              <w:rPr>
                <w:rFonts w:ascii="Arial" w:hAnsi="Arial" w:cs="Arial"/>
                <w:color w:val="000000"/>
                <w:kern w:val="0"/>
                <w:szCs w:val="21"/>
              </w:rPr>
              <w:t>序号</w:t>
            </w:r>
          </w:p>
        </w:tc>
        <w:tc>
          <w:tcPr>
            <w:tcW w:w="851" w:type="dxa"/>
            <w:shd w:val="clear" w:color="auto" w:fill="auto"/>
            <w:noWrap/>
            <w:vAlign w:val="center"/>
          </w:tcPr>
          <w:p w14:paraId="12B76B21">
            <w:pPr>
              <w:widowControl/>
              <w:jc w:val="center"/>
              <w:rPr>
                <w:rFonts w:ascii="Arial" w:hAnsi="Arial" w:cs="Arial"/>
                <w:color w:val="000000"/>
                <w:kern w:val="0"/>
                <w:szCs w:val="21"/>
              </w:rPr>
            </w:pPr>
            <w:r>
              <w:rPr>
                <w:rFonts w:ascii="Arial" w:hAnsi="Arial" w:cs="Arial"/>
                <w:color w:val="000000"/>
                <w:kern w:val="0"/>
                <w:szCs w:val="21"/>
              </w:rPr>
              <w:t>名称</w:t>
            </w:r>
          </w:p>
        </w:tc>
        <w:tc>
          <w:tcPr>
            <w:tcW w:w="7759" w:type="dxa"/>
            <w:shd w:val="clear" w:color="auto" w:fill="auto"/>
            <w:noWrap/>
            <w:vAlign w:val="center"/>
          </w:tcPr>
          <w:p w14:paraId="288B6895">
            <w:pPr>
              <w:widowControl/>
              <w:jc w:val="center"/>
              <w:rPr>
                <w:rFonts w:ascii="Arial" w:hAnsi="Arial" w:cs="Arial"/>
                <w:color w:val="000000"/>
                <w:kern w:val="0"/>
                <w:szCs w:val="21"/>
              </w:rPr>
            </w:pPr>
            <w:r>
              <w:rPr>
                <w:rFonts w:hint="eastAsia" w:ascii="Arial" w:hAnsi="Arial" w:cs="Arial"/>
                <w:kern w:val="0"/>
                <w:szCs w:val="21"/>
              </w:rPr>
              <w:t>参数</w:t>
            </w:r>
            <w:r>
              <w:rPr>
                <w:rFonts w:hint="eastAsia" w:ascii="Arial" w:hAnsi="Arial" w:cs="Arial"/>
                <w:color w:val="000000"/>
                <w:kern w:val="0"/>
                <w:szCs w:val="21"/>
              </w:rPr>
              <w:t>要求</w:t>
            </w:r>
          </w:p>
        </w:tc>
        <w:tc>
          <w:tcPr>
            <w:tcW w:w="375" w:type="dxa"/>
            <w:shd w:val="clear" w:color="auto" w:fill="auto"/>
            <w:noWrap/>
            <w:vAlign w:val="center"/>
          </w:tcPr>
          <w:p w14:paraId="482FA216">
            <w:pPr>
              <w:widowControl/>
              <w:jc w:val="center"/>
              <w:rPr>
                <w:rFonts w:ascii="Arial" w:hAnsi="Arial" w:cs="Arial"/>
                <w:color w:val="000000"/>
                <w:kern w:val="0"/>
                <w:szCs w:val="21"/>
              </w:rPr>
            </w:pPr>
            <w:r>
              <w:rPr>
                <w:rFonts w:hint="eastAsia" w:ascii="Arial" w:hAnsi="Arial" w:cs="Arial"/>
                <w:color w:val="000000"/>
                <w:kern w:val="0"/>
                <w:szCs w:val="21"/>
              </w:rPr>
              <w:t>数量</w:t>
            </w:r>
          </w:p>
        </w:tc>
        <w:tc>
          <w:tcPr>
            <w:tcW w:w="465" w:type="dxa"/>
            <w:shd w:val="clear" w:color="auto" w:fill="auto"/>
            <w:noWrap/>
            <w:vAlign w:val="center"/>
          </w:tcPr>
          <w:p w14:paraId="4D5D442D">
            <w:pPr>
              <w:widowControl/>
              <w:jc w:val="center"/>
              <w:rPr>
                <w:rFonts w:ascii="Arial" w:hAnsi="Arial" w:cs="Arial"/>
                <w:color w:val="000000"/>
                <w:kern w:val="0"/>
                <w:szCs w:val="21"/>
              </w:rPr>
            </w:pPr>
            <w:r>
              <w:rPr>
                <w:rFonts w:hint="eastAsia" w:ascii="Arial" w:hAnsi="Arial" w:cs="Arial"/>
                <w:color w:val="000000"/>
                <w:kern w:val="0"/>
                <w:szCs w:val="21"/>
              </w:rPr>
              <w:t>单位</w:t>
            </w:r>
          </w:p>
        </w:tc>
      </w:tr>
      <w:tr w14:paraId="0968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616" w:type="dxa"/>
          </w:tcPr>
          <w:p w14:paraId="541DEB79">
            <w:pPr>
              <w:widowControl/>
              <w:rPr>
                <w:rFonts w:ascii="Arial" w:hAnsi="Arial" w:cs="Arial"/>
                <w:kern w:val="0"/>
                <w:szCs w:val="21"/>
              </w:rPr>
            </w:pPr>
            <w:r>
              <w:rPr>
                <w:rFonts w:ascii="Arial" w:hAnsi="Arial" w:cs="Arial"/>
                <w:kern w:val="0"/>
                <w:szCs w:val="21"/>
              </w:rPr>
              <w:t>1</w:t>
            </w:r>
          </w:p>
        </w:tc>
        <w:tc>
          <w:tcPr>
            <w:tcW w:w="851" w:type="dxa"/>
            <w:shd w:val="clear" w:color="auto" w:fill="auto"/>
            <w:noWrap/>
          </w:tcPr>
          <w:p w14:paraId="5D490E7F">
            <w:pPr>
              <w:widowControl/>
              <w:rPr>
                <w:rFonts w:ascii="Arial" w:hAnsi="Arial" w:cs="Arial"/>
                <w:kern w:val="0"/>
                <w:szCs w:val="21"/>
              </w:rPr>
            </w:pPr>
            <w:r>
              <w:rPr>
                <w:rFonts w:hint="eastAsia" w:ascii="Arial" w:hAnsi="Arial" w:cs="Arial"/>
                <w:bCs/>
                <w:kern w:val="0"/>
                <w:sz w:val="22"/>
                <w:szCs w:val="24"/>
                <w:lang w:bidi="en-US"/>
              </w:rPr>
              <w:t>产教融合信息服务平台建设采购</w:t>
            </w:r>
          </w:p>
        </w:tc>
        <w:tc>
          <w:tcPr>
            <w:tcW w:w="7759" w:type="dxa"/>
            <w:shd w:val="clear" w:color="auto" w:fill="auto"/>
            <w:noWrap/>
          </w:tcPr>
          <w:p w14:paraId="42D932B3">
            <w:pPr>
              <w:numPr>
                <w:ilvl w:val="0"/>
                <w:numId w:val="2"/>
              </w:numPr>
              <w:ind w:left="0" w:leftChars="0" w:firstLine="0" w:firstLineChars="0"/>
              <w:jc w:val="both"/>
              <w:rPr>
                <w:rFonts w:hint="eastAsia" w:ascii="宋体" w:hAnsi="宋体" w:eastAsia="宋体" w:cs="宋体"/>
                <w:b/>
                <w:bCs/>
                <w:sz w:val="18"/>
                <w:szCs w:val="18"/>
                <w:highlight w:val="none"/>
                <w:lang w:val="en-US" w:eastAsia="zh-CN"/>
              </w:rPr>
            </w:pPr>
            <w:r>
              <w:rPr>
                <w:rFonts w:hint="eastAsia" w:ascii="宋体" w:hAnsi="宋体" w:eastAsia="宋体" w:cs="宋体"/>
                <w:b/>
                <w:bCs/>
                <w:sz w:val="18"/>
                <w:szCs w:val="18"/>
                <w:highlight w:val="none"/>
                <w:lang w:val="en-US" w:eastAsia="zh-CN"/>
              </w:rPr>
              <w:t>广西（柳州）汽车产教联合体信息服务平台优化</w:t>
            </w:r>
          </w:p>
          <w:p w14:paraId="79E23C2E">
            <w:pPr>
              <w:numPr>
                <w:ilvl w:val="0"/>
                <w:numId w:val="3"/>
              </w:numPr>
              <w:ind w:left="-420" w:leftChars="0" w:firstLine="420" w:firstLineChars="0"/>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行业信息中心</w:t>
            </w:r>
          </w:p>
          <w:p w14:paraId="3F77E3CD">
            <w:pPr>
              <w:numPr>
                <w:ilvl w:val="0"/>
                <w:numId w:val="4"/>
              </w:numPr>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 xml:space="preserve">内容聚合 </w:t>
            </w:r>
          </w:p>
          <w:p w14:paraId="30B72A45">
            <w:pPr>
              <w:numPr>
                <w:ilvl w:val="0"/>
                <w:numId w:val="0"/>
              </w:numPr>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（1）根据采购人提供的关键词或相关网站，</w:t>
            </w:r>
            <w:r>
              <w:rPr>
                <w:rFonts w:hint="eastAsia" w:ascii="宋体" w:hAnsi="宋体" w:eastAsia="宋体" w:cs="宋体"/>
                <w:b w:val="0"/>
                <w:bCs w:val="0"/>
                <w:color w:val="auto"/>
                <w:sz w:val="18"/>
                <w:szCs w:val="18"/>
                <w:highlight w:val="none"/>
                <w:lang w:val="en-US" w:eastAsia="zh-CN"/>
              </w:rPr>
              <w:t>通过官方授权合作渠道、公开权威政务数据源、正规商业资讯 API 接口聚合产业信息</w:t>
            </w:r>
            <w:r>
              <w:rPr>
                <w:rFonts w:hint="eastAsia" w:ascii="宋体" w:hAnsi="宋体" w:eastAsia="宋体" w:cs="宋体"/>
                <w:color w:val="auto"/>
                <w:sz w:val="18"/>
                <w:szCs w:val="18"/>
                <w:highlight w:val="none"/>
                <w:lang w:eastAsia="zh-CN"/>
              </w:rPr>
              <w:t>，</w:t>
            </w:r>
            <w:r>
              <w:rPr>
                <w:rFonts w:hint="eastAsia" w:ascii="宋体" w:hAnsi="宋体" w:eastAsia="宋体" w:cs="宋体"/>
                <w:b w:val="0"/>
                <w:bCs w:val="0"/>
                <w:sz w:val="18"/>
                <w:szCs w:val="18"/>
                <w:highlight w:val="none"/>
                <w:lang w:val="en-US" w:eastAsia="zh-CN"/>
              </w:rPr>
              <w:t>聚合国内外汽车产业新闻、政策法规、市场报告、技术白皮书，内容支持按标签分类（如：新能源、政策、5G/V2X、供应链等）。</w:t>
            </w:r>
          </w:p>
          <w:p w14:paraId="77EC4C47">
            <w:pPr>
              <w:numPr>
                <w:ilvl w:val="0"/>
                <w:numId w:val="0"/>
              </w:numPr>
              <w:jc w:val="both"/>
              <w:rPr>
                <w:rFonts w:hint="eastAsia" w:ascii="宋体" w:hAnsi="宋体" w:eastAsia="宋体" w:cs="宋体"/>
                <w:b/>
                <w:bCs/>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2）禁止无授权网络爬虫抓取第三方私有网站数据；采集公开网页内容，须符合《著作权法》《网络安全法》，内置合规爬取规则（限公开无版权声明内容、设置访问频率限制、标注内容来源），用户管理员可以根据需要自由设定。</w:t>
            </w:r>
            <w:r>
              <w:rPr>
                <w:rFonts w:hint="eastAsia" w:ascii="宋体" w:hAnsi="宋体" w:eastAsia="宋体" w:cs="宋体"/>
                <w:b/>
                <w:bCs/>
                <w:color w:val="auto"/>
                <w:sz w:val="18"/>
                <w:szCs w:val="18"/>
                <w:highlight w:val="none"/>
                <w:lang w:val="en-US" w:eastAsia="zh-CN"/>
              </w:rPr>
              <w:t>报价时须提供数据来源合法性与版权合规的承诺书并加盖公章，格式详见附件3：数据来源合法性与版权合规承诺书。</w:t>
            </w:r>
          </w:p>
          <w:p w14:paraId="3BC21664">
            <w:pPr>
              <w:numPr>
                <w:ilvl w:val="0"/>
                <w:numId w:val="4"/>
              </w:numPr>
              <w:ind w:left="0" w:leftChars="0" w:firstLine="0" w:firstLineChars="0"/>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信息收集与上报。</w:t>
            </w:r>
          </w:p>
          <w:p w14:paraId="4DC8D526">
            <w:pPr>
              <w:numPr>
                <w:ilvl w:val="0"/>
                <w:numId w:val="0"/>
              </w:numPr>
              <w:ind w:leftChars="0"/>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支持下属单位按统一模板规范上传数据，保障自治区平台数据统一性。</w:t>
            </w:r>
          </w:p>
          <w:p w14:paraId="02E339B6">
            <w:pPr>
              <w:numPr>
                <w:ilvl w:val="0"/>
                <w:numId w:val="0"/>
              </w:numPr>
              <w:ind w:leftChars="0"/>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 xml:space="preserve">3.AI辅助运营 </w:t>
            </w:r>
          </w:p>
          <w:p w14:paraId="77C1732C">
            <w:pPr>
              <w:numPr>
                <w:ilvl w:val="0"/>
                <w:numId w:val="0"/>
              </w:numPr>
              <w:ind w:leftChars="0"/>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AI辅助信息打标、分类、摘要生成，供用户筛选审核（经AI进行关键词审核，以屏蔽非法信息）后发布，提升运营效率。</w:t>
            </w:r>
          </w:p>
          <w:p w14:paraId="31EB2E7B">
            <w:pPr>
              <w:numPr>
                <w:ilvl w:val="0"/>
                <w:numId w:val="3"/>
              </w:numPr>
              <w:ind w:left="-420" w:leftChars="0" w:firstLine="420" w:firstLineChars="0"/>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移动端应用</w:t>
            </w:r>
          </w:p>
          <w:p w14:paraId="04AA45C1">
            <w:pPr>
              <w:numPr>
                <w:ilvl w:val="0"/>
                <w:numId w:val="5"/>
              </w:numPr>
              <w:ind w:leftChars="0"/>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 xml:space="preserve">移动端访问。 </w:t>
            </w:r>
          </w:p>
          <w:p w14:paraId="74E09F5A">
            <w:pPr>
              <w:numPr>
                <w:ilvl w:val="0"/>
                <w:numId w:val="0"/>
              </w:numPr>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开发微信小程序，可以使用微信小程序操作联合体信息服务平台，用户可扫码访问，搜索、查看，维护信息，发布需求或服务，管理员可以使用移动端进行用户/权限设置。</w:t>
            </w:r>
          </w:p>
          <w:p w14:paraId="0FEB60CB">
            <w:pPr>
              <w:numPr>
                <w:ilvl w:val="0"/>
                <w:numId w:val="5"/>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sz w:val="18"/>
                <w:szCs w:val="18"/>
                <w:highlight w:val="none"/>
                <w:lang w:val="en-US" w:eastAsia="zh-CN"/>
              </w:rPr>
              <w:t xml:space="preserve">企业名片与需求分享。 </w:t>
            </w:r>
          </w:p>
          <w:p w14:paraId="152D5B7C">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sz w:val="18"/>
                <w:szCs w:val="18"/>
                <w:highlight w:val="none"/>
                <w:lang w:val="en-US" w:eastAsia="zh-CN"/>
              </w:rPr>
              <w:t>支持服务或企业信息一键分享，支持一键分享企业名片、需求，支持公开发布或点对点发布到指定用户（如学校管理员或企业用户）。</w:t>
            </w:r>
            <w:r>
              <w:rPr>
                <w:rFonts w:hint="eastAsia" w:ascii="宋体" w:hAnsi="宋体" w:eastAsia="宋体" w:cs="宋体"/>
                <w:b w:val="0"/>
                <w:bCs w:val="0"/>
                <w:color w:val="auto"/>
                <w:sz w:val="18"/>
                <w:szCs w:val="18"/>
                <w:highlight w:val="none"/>
                <w:lang w:val="en-US" w:eastAsia="zh-CN"/>
              </w:rPr>
              <w:t>发布前需经AI进行关键词审核，AI 初审包含敏感词、涉政、涉黄赌毒、虚假宣传、违规经营内容识别；识别违规内容自动拦截并留存操作日志、原文截图；疑似AI无法判定内容标记待人工复核（管理员后台复核）；明确违规信息台账留存不少于 6 个月，支持监管溯源。</w:t>
            </w:r>
          </w:p>
          <w:p w14:paraId="0121AA7A">
            <w:pPr>
              <w:numPr>
                <w:ilvl w:val="0"/>
                <w:numId w:val="5"/>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信息推送。</w:t>
            </w:r>
          </w:p>
          <w:p w14:paraId="5A46957E">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每日精选行业快讯，每周汇总需求与服务（经AI进行关键词审核，以屏蔽非法信息）推送到管理员手机上，由管理员审核后推送给相关用户。支持按单位、用户类型分批次定向推送，用户可自主取消快讯、需求推送。</w:t>
            </w:r>
          </w:p>
          <w:p w14:paraId="4100A3EC">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（三）人工智能与智能服务</w:t>
            </w:r>
          </w:p>
          <w:p w14:paraId="1F9CC05D">
            <w:pPr>
              <w:numPr>
                <w:ilvl w:val="0"/>
                <w:numId w:val="6"/>
              </w:numPr>
              <w:ind w:leftChars="0"/>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AI客服导航。 </w:t>
            </w:r>
          </w:p>
          <w:p w14:paraId="1D0842BC">
            <w:pPr>
              <w:numPr>
                <w:ilvl w:val="0"/>
                <w:numId w:val="0"/>
              </w:numPr>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对接使用学校AI客服，访问平台数据库，实现7×24小时在线。AI客服可以多轮对话，精准理解用户意图，解答平台功能与政策问题，支持转人工服务（管理员后台回复），AI客</w:t>
            </w:r>
            <w:r>
              <w:rPr>
                <w:rFonts w:hint="eastAsia" w:ascii="宋体" w:hAnsi="宋体" w:eastAsia="宋体" w:cs="宋体"/>
                <w:b w:val="0"/>
                <w:bCs w:val="0"/>
                <w:sz w:val="18"/>
                <w:szCs w:val="18"/>
                <w:highlight w:val="none"/>
                <w:lang w:val="en-US" w:eastAsia="zh-CN"/>
              </w:rPr>
              <w:t>服可以点击呼出或最小化隐藏。</w:t>
            </w:r>
          </w:p>
          <w:p w14:paraId="7A079D25">
            <w:pPr>
              <w:numPr>
                <w:ilvl w:val="0"/>
                <w:numId w:val="6"/>
              </w:numPr>
              <w:ind w:left="0" w:leftChars="0" w:firstLine="0" w:firstLineChars="0"/>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智能发布助手。 企业上传招聘文档（Word/PDF），AI自动解析（关键字段抽取准确率≥90%）自动抓取文档内容，快速正确填充发布表单</w:t>
            </w:r>
            <w:r>
              <w:rPr>
                <w:rFonts w:hint="eastAsia" w:ascii="宋体" w:hAnsi="宋体" w:eastAsia="宋体" w:cs="宋体"/>
                <w:b w:val="0"/>
                <w:bCs w:val="0"/>
                <w:color w:val="auto"/>
                <w:sz w:val="18"/>
                <w:szCs w:val="18"/>
                <w:highlight w:val="none"/>
                <w:lang w:val="en-US" w:eastAsia="zh-CN"/>
              </w:rPr>
              <w:t>，由用户审核后方可保存。</w:t>
            </w:r>
          </w:p>
          <w:p w14:paraId="12AB5B53">
            <w:pPr>
              <w:numPr>
                <w:ilvl w:val="0"/>
                <w:numId w:val="6"/>
              </w:numPr>
              <w:ind w:left="0" w:leftChars="0" w:firstLine="0" w:firstLineChars="0"/>
              <w:jc w:val="both"/>
              <w:rPr>
                <w:rFonts w:hint="eastAsia" w:ascii="宋体" w:hAnsi="宋体" w:eastAsia="宋体" w:cs="宋体"/>
                <w:b w:val="0"/>
                <w:bCs w:val="0"/>
                <w:color w:val="4F81BD" w:themeColor="accent1"/>
                <w:sz w:val="18"/>
                <w:szCs w:val="18"/>
                <w:highlight w:val="none"/>
                <w:lang w:val="en-US" w:eastAsia="zh-CN"/>
                <w14:textFill>
                  <w14:solidFill>
                    <w14:schemeClr w14:val="accent1"/>
                  </w14:solidFill>
                </w14:textFill>
              </w:rPr>
            </w:pPr>
            <w:r>
              <w:rPr>
                <w:rFonts w:hint="eastAsia" w:ascii="宋体" w:hAnsi="宋体" w:eastAsia="宋体" w:cs="宋体"/>
                <w:b w:val="0"/>
                <w:bCs w:val="0"/>
                <w:sz w:val="18"/>
                <w:szCs w:val="18"/>
                <w:highlight w:val="none"/>
                <w:lang w:val="en-US" w:eastAsia="zh-CN"/>
              </w:rPr>
              <w:t>企业主页定制。 企业根据模板上传资料后，AI自动解析，生成公司主页</w:t>
            </w:r>
            <w:r>
              <w:rPr>
                <w:rFonts w:hint="eastAsia" w:ascii="宋体" w:hAnsi="宋体" w:eastAsia="宋体" w:cs="宋体"/>
                <w:b w:val="0"/>
                <w:bCs w:val="0"/>
                <w:color w:val="auto"/>
                <w:sz w:val="18"/>
                <w:szCs w:val="18"/>
                <w:highlight w:val="none"/>
                <w:lang w:val="en-US" w:eastAsia="zh-CN"/>
              </w:rPr>
              <w:t>，由管理员审核后方可进行发布。</w:t>
            </w:r>
          </w:p>
          <w:p w14:paraId="3D22B9C2">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（四）平台首页布局调整</w:t>
            </w:r>
          </w:p>
          <w:p w14:paraId="31E9AEBA">
            <w:pPr>
              <w:numPr>
                <w:ilvl w:val="0"/>
                <w:numId w:val="7"/>
              </w:numPr>
              <w:ind w:leftChars="0"/>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平台首页下拉主菜单调整：</w:t>
            </w:r>
          </w:p>
          <w:p w14:paraId="2A75A57C">
            <w:pPr>
              <w:numPr>
                <w:ilvl w:val="0"/>
                <w:numId w:val="8"/>
              </w:numPr>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“首页”模块不变。</w:t>
            </w:r>
          </w:p>
          <w:p w14:paraId="76163FD0">
            <w:pPr>
              <w:numPr>
                <w:ilvl w:val="0"/>
                <w:numId w:val="8"/>
              </w:numPr>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“学校服务清单”改为“服务清单”，下设“企业服务清单”与“学校服务清单”子菜单。</w:t>
            </w:r>
          </w:p>
          <w:p w14:paraId="76482830">
            <w:pPr>
              <w:numPr>
                <w:ilvl w:val="0"/>
                <w:numId w:val="8"/>
              </w:numPr>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“企业需求清单”改为“需求清单”，下设“企业需求清单”与“学校需求清单”子菜单。</w:t>
            </w:r>
          </w:p>
          <w:p w14:paraId="67B05C8B">
            <w:pPr>
              <w:numPr>
                <w:ilvl w:val="0"/>
                <w:numId w:val="8"/>
              </w:numPr>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“政策资讯”改为“资讯中心”，下设“政策资讯”与“行业相关信息”子菜单。</w:t>
            </w:r>
          </w:p>
          <w:p w14:paraId="1CF5C312">
            <w:pPr>
              <w:numPr>
                <w:ilvl w:val="0"/>
                <w:numId w:val="8"/>
              </w:numPr>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“关于我们”改为“更多”，下设“数据驾驶舱”与“关于我们”子菜单。</w:t>
            </w:r>
          </w:p>
          <w:p w14:paraId="08B3AB1A">
            <w:pPr>
              <w:numPr>
                <w:ilvl w:val="0"/>
                <w:numId w:val="7"/>
              </w:numPr>
              <w:ind w:leftChars="0"/>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菜单内容及功能调整：</w:t>
            </w:r>
          </w:p>
          <w:p w14:paraId="1FD0F27D">
            <w:pPr>
              <w:numPr>
                <w:ilvl w:val="0"/>
                <w:numId w:val="9"/>
              </w:numPr>
              <w:jc w:val="both"/>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“学校服务清单”内容及功能不变，由主菜单移至“服务清单”下的子菜单。</w:t>
            </w:r>
          </w:p>
          <w:p w14:paraId="130544AB">
            <w:pPr>
              <w:numPr>
                <w:ilvl w:val="0"/>
                <w:numId w:val="9"/>
              </w:numPr>
              <w:jc w:val="both"/>
              <w:rPr>
                <w:rFonts w:hint="eastAsia" w:ascii="宋体" w:hAnsi="宋体" w:eastAsia="宋体" w:cs="宋体"/>
                <w:sz w:val="18"/>
                <w:szCs w:val="18"/>
                <w:highlight w:val="none"/>
                <w:lang w:val="en-US" w:eastAsia="zh-CN"/>
              </w:rPr>
            </w:pPr>
            <w:r>
              <w:rPr>
                <w:rFonts w:hint="eastAsia" w:ascii="宋体" w:hAnsi="宋体" w:eastAsia="宋体" w:cs="宋体"/>
                <w:b w:val="0"/>
                <w:bCs w:val="0"/>
                <w:sz w:val="18"/>
                <w:szCs w:val="18"/>
                <w:highlight w:val="none"/>
                <w:lang w:val="en-US" w:eastAsia="zh-CN"/>
              </w:rPr>
              <w:t>“企业服务清单”内容及功能：</w:t>
            </w:r>
          </w:p>
          <w:tbl>
            <w:tblPr>
              <w:tblStyle w:val="18"/>
              <w:tblW w:w="6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0"/>
              <w:gridCol w:w="1391"/>
              <w:gridCol w:w="1392"/>
              <w:gridCol w:w="2957"/>
            </w:tblGrid>
            <w:tr w14:paraId="5F0A4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869D">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一级目录</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6CA98">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二级</w:t>
                  </w:r>
                </w:p>
                <w:p w14:paraId="2B5E8846">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目录</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D70FF">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三级目录</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E490">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服务能力描述</w:t>
                  </w:r>
                </w:p>
              </w:tc>
            </w:tr>
            <w:tr w14:paraId="02D34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E4BD">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专业人员服务</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2E1A0">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工程技术人员</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E1FB">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w:t>
                  </w:r>
                </w:p>
              </w:tc>
              <w:tc>
                <w:tcPr>
                  <w:tcW w:w="2957" w:type="dxa"/>
                  <w:vMerge w:val="restart"/>
                  <w:tcBorders>
                    <w:top w:val="single" w:color="000000" w:sz="4" w:space="0"/>
                    <w:left w:val="single" w:color="000000" w:sz="4" w:space="0"/>
                    <w:right w:val="single" w:color="000000" w:sz="4" w:space="0"/>
                  </w:tcBorders>
                  <w:shd w:val="clear" w:color="auto" w:fill="auto"/>
                  <w:vAlign w:val="center"/>
                </w:tcPr>
                <w:p w14:paraId="2DEB09B7">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可提供技术指导、技术服务，参与专业、课程开发与建设、兼职授课、讲座。</w:t>
                  </w:r>
                </w:p>
                <w:p w14:paraId="7C58985A">
                  <w:pPr>
                    <w:snapToGrid w:val="0"/>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kern w:val="2"/>
                      <w:sz w:val="18"/>
                      <w:szCs w:val="18"/>
                      <w:highlight w:val="none"/>
                      <w:lang w:val="en-US" w:eastAsia="zh-CN" w:bidi="ar-SA"/>
                    </w:rPr>
                    <w:t>需明确提供单位，数量，职称/技术等级，专业能力、专业年限、工作业绩等简介，可用时间（段）等或微信/电话联系。</w:t>
                  </w:r>
                </w:p>
              </w:tc>
            </w:tr>
            <w:tr w14:paraId="15FBE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590" w:type="dxa"/>
                  <w:vMerge w:val="continue"/>
                  <w:tcBorders>
                    <w:left w:val="single" w:color="000000" w:sz="4" w:space="0"/>
                    <w:right w:val="single" w:color="000000" w:sz="4" w:space="0"/>
                  </w:tcBorders>
                  <w:shd w:val="clear" w:color="auto" w:fill="auto"/>
                  <w:noWrap/>
                  <w:vAlign w:val="center"/>
                </w:tcPr>
                <w:p w14:paraId="4BD9AD8C">
                  <w:pPr>
                    <w:snapToGrid w:val="0"/>
                    <w:jc w:val="both"/>
                    <w:rPr>
                      <w:rFonts w:hint="eastAsia" w:ascii="宋体" w:hAnsi="宋体" w:eastAsia="宋体" w:cs="宋体"/>
                      <w:color w:val="auto"/>
                      <w:kern w:val="2"/>
                      <w:sz w:val="18"/>
                      <w:szCs w:val="18"/>
                      <w:highlight w:val="none"/>
                      <w:lang w:val="en-US" w:eastAsia="zh-CN" w:bidi="ar-SA"/>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1337">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信息技术人员</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82BA4">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w:t>
                  </w:r>
                </w:p>
              </w:tc>
              <w:tc>
                <w:tcPr>
                  <w:tcW w:w="2957" w:type="dxa"/>
                  <w:vMerge w:val="continue"/>
                  <w:tcBorders>
                    <w:left w:val="single" w:color="000000" w:sz="4" w:space="0"/>
                    <w:right w:val="single" w:color="000000" w:sz="4" w:space="0"/>
                  </w:tcBorders>
                  <w:shd w:val="clear" w:color="auto" w:fill="auto"/>
                  <w:vAlign w:val="center"/>
                </w:tcPr>
                <w:p w14:paraId="65394F9A">
                  <w:pPr>
                    <w:snapToGrid w:val="0"/>
                    <w:jc w:val="both"/>
                    <w:rPr>
                      <w:rFonts w:hint="eastAsia" w:ascii="宋体" w:hAnsi="宋体" w:eastAsia="宋体" w:cs="宋体"/>
                      <w:color w:val="auto"/>
                      <w:kern w:val="2"/>
                      <w:sz w:val="18"/>
                      <w:szCs w:val="18"/>
                      <w:highlight w:val="none"/>
                      <w:lang w:val="en-US" w:eastAsia="zh-CN" w:bidi="ar-SA"/>
                    </w:rPr>
                  </w:pPr>
                </w:p>
              </w:tc>
            </w:tr>
            <w:tr w14:paraId="7C5F5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64EFD">
                  <w:pPr>
                    <w:snapToGrid w:val="0"/>
                    <w:jc w:val="both"/>
                    <w:rPr>
                      <w:rFonts w:hint="eastAsia" w:ascii="宋体" w:hAnsi="宋体" w:eastAsia="宋体" w:cs="宋体"/>
                      <w:color w:val="auto"/>
                      <w:kern w:val="2"/>
                      <w:sz w:val="18"/>
                      <w:szCs w:val="18"/>
                      <w:highlight w:val="none"/>
                      <w:lang w:val="en-US" w:eastAsia="zh-CN" w:bidi="ar-SA"/>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E3352">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财务专家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52F1">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w:t>
                  </w:r>
                </w:p>
              </w:tc>
              <w:tc>
                <w:tcPr>
                  <w:tcW w:w="2957" w:type="dxa"/>
                  <w:vMerge w:val="continue"/>
                  <w:tcBorders>
                    <w:left w:val="single" w:color="000000" w:sz="4" w:space="0"/>
                    <w:right w:val="single" w:color="000000" w:sz="4" w:space="0"/>
                  </w:tcBorders>
                  <w:shd w:val="clear" w:color="auto" w:fill="auto"/>
                  <w:vAlign w:val="center"/>
                </w:tcPr>
                <w:p w14:paraId="3D23D05E">
                  <w:pPr>
                    <w:snapToGrid w:val="0"/>
                    <w:jc w:val="both"/>
                    <w:rPr>
                      <w:rFonts w:hint="eastAsia" w:ascii="宋体" w:hAnsi="宋体" w:eastAsia="宋体" w:cs="宋体"/>
                      <w:color w:val="auto"/>
                      <w:kern w:val="2"/>
                      <w:sz w:val="18"/>
                      <w:szCs w:val="18"/>
                      <w:highlight w:val="none"/>
                      <w:lang w:val="en-US" w:eastAsia="zh-CN" w:bidi="ar-SA"/>
                    </w:rPr>
                  </w:pPr>
                </w:p>
              </w:tc>
            </w:tr>
            <w:tr w14:paraId="55F2F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F433">
                  <w:pPr>
                    <w:snapToGrid w:val="0"/>
                    <w:jc w:val="both"/>
                    <w:rPr>
                      <w:rFonts w:hint="eastAsia" w:ascii="宋体" w:hAnsi="宋体" w:eastAsia="宋体" w:cs="宋体"/>
                      <w:color w:val="auto"/>
                      <w:kern w:val="2"/>
                      <w:sz w:val="18"/>
                      <w:szCs w:val="18"/>
                      <w:highlight w:val="none"/>
                      <w:lang w:val="en-US" w:eastAsia="zh-CN" w:bidi="ar-SA"/>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9BB7">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管理专家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F8D1">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w:t>
                  </w:r>
                </w:p>
              </w:tc>
              <w:tc>
                <w:tcPr>
                  <w:tcW w:w="2957" w:type="dxa"/>
                  <w:vMerge w:val="continue"/>
                  <w:tcBorders>
                    <w:left w:val="single" w:color="000000" w:sz="4" w:space="0"/>
                    <w:right w:val="single" w:color="000000" w:sz="4" w:space="0"/>
                  </w:tcBorders>
                  <w:shd w:val="clear" w:color="auto" w:fill="auto"/>
                  <w:vAlign w:val="center"/>
                </w:tcPr>
                <w:p w14:paraId="30C15F92">
                  <w:pPr>
                    <w:snapToGrid w:val="0"/>
                    <w:jc w:val="both"/>
                    <w:rPr>
                      <w:rFonts w:hint="eastAsia" w:ascii="宋体" w:hAnsi="宋体" w:eastAsia="宋体" w:cs="宋体"/>
                      <w:color w:val="auto"/>
                      <w:kern w:val="2"/>
                      <w:sz w:val="18"/>
                      <w:szCs w:val="18"/>
                      <w:highlight w:val="none"/>
                      <w:lang w:val="en-US" w:eastAsia="zh-CN" w:bidi="ar-SA"/>
                    </w:rPr>
                  </w:pPr>
                </w:p>
              </w:tc>
            </w:tr>
            <w:tr w14:paraId="56AF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5BB0">
                  <w:pPr>
                    <w:snapToGrid w:val="0"/>
                    <w:jc w:val="both"/>
                    <w:rPr>
                      <w:rFonts w:hint="eastAsia" w:ascii="宋体" w:hAnsi="宋体" w:eastAsia="宋体" w:cs="宋体"/>
                      <w:color w:val="auto"/>
                      <w:kern w:val="2"/>
                      <w:sz w:val="18"/>
                      <w:szCs w:val="18"/>
                      <w:highlight w:val="none"/>
                      <w:lang w:val="en-US" w:eastAsia="zh-CN" w:bidi="ar-SA"/>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2FB98">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其他专家</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5AB86">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w:t>
                  </w:r>
                </w:p>
              </w:tc>
              <w:tc>
                <w:tcPr>
                  <w:tcW w:w="2957" w:type="dxa"/>
                  <w:vMerge w:val="continue"/>
                  <w:tcBorders>
                    <w:left w:val="single" w:color="000000" w:sz="4" w:space="0"/>
                    <w:bottom w:val="single" w:color="000000" w:sz="4" w:space="0"/>
                    <w:right w:val="single" w:color="000000" w:sz="4" w:space="0"/>
                  </w:tcBorders>
                  <w:shd w:val="clear" w:color="auto" w:fill="auto"/>
                  <w:vAlign w:val="center"/>
                </w:tcPr>
                <w:p w14:paraId="0B16BA78">
                  <w:pPr>
                    <w:snapToGrid w:val="0"/>
                    <w:jc w:val="both"/>
                    <w:rPr>
                      <w:rFonts w:hint="eastAsia" w:ascii="宋体" w:hAnsi="宋体" w:eastAsia="宋体" w:cs="宋体"/>
                      <w:color w:val="auto"/>
                      <w:kern w:val="2"/>
                      <w:sz w:val="18"/>
                      <w:szCs w:val="18"/>
                      <w:highlight w:val="none"/>
                      <w:lang w:val="en-US" w:eastAsia="zh-CN" w:bidi="ar-SA"/>
                    </w:rPr>
                  </w:pPr>
                </w:p>
              </w:tc>
            </w:tr>
            <w:tr w14:paraId="669D2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259B">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专业技术服务</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5E31">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试验支持</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B861">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种类，测试能力</w:t>
                  </w:r>
                </w:p>
              </w:tc>
              <w:tc>
                <w:tcPr>
                  <w:tcW w:w="29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B0752">
                  <w:pPr>
                    <w:pStyle w:val="2"/>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可提供设备、加工、测量等服务。</w:t>
                  </w:r>
                </w:p>
                <w:p w14:paraId="25D76A68">
                  <w:pPr>
                    <w:pStyle w:val="2"/>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kern w:val="2"/>
                      <w:sz w:val="18"/>
                      <w:szCs w:val="18"/>
                      <w:highlight w:val="none"/>
                      <w:lang w:val="en-US" w:eastAsia="zh-CN" w:bidi="ar-SA"/>
                    </w:rPr>
                    <w:t>需明确提供单位，数量，相关参数（如设备名称、品牌型号、加工能力、精度等），可用时间（段）等或微信/电话联系。</w:t>
                  </w:r>
                </w:p>
              </w:tc>
            </w:tr>
            <w:tr w14:paraId="7A8AB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72E42">
                  <w:pPr>
                    <w:snapToGrid w:val="0"/>
                    <w:jc w:val="both"/>
                    <w:rPr>
                      <w:rFonts w:hint="eastAsia" w:ascii="宋体" w:hAnsi="宋体" w:eastAsia="宋体" w:cs="宋体"/>
                      <w:color w:val="auto"/>
                      <w:kern w:val="2"/>
                      <w:sz w:val="18"/>
                      <w:szCs w:val="18"/>
                      <w:highlight w:val="none"/>
                      <w:lang w:val="en-US" w:eastAsia="zh-CN" w:bidi="ar-SA"/>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1C47A">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测量支持</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AA88">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种类、精度</w:t>
                  </w:r>
                </w:p>
              </w:tc>
              <w:tc>
                <w:tcPr>
                  <w:tcW w:w="2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F74E5">
                  <w:pPr>
                    <w:snapToGrid w:val="0"/>
                    <w:jc w:val="both"/>
                    <w:rPr>
                      <w:rFonts w:hint="eastAsia" w:ascii="宋体" w:hAnsi="宋体" w:eastAsia="宋体" w:cs="宋体"/>
                      <w:color w:val="auto"/>
                      <w:kern w:val="2"/>
                      <w:sz w:val="18"/>
                      <w:szCs w:val="18"/>
                      <w:highlight w:val="none"/>
                      <w:lang w:val="en-US" w:eastAsia="zh-CN" w:bidi="ar-SA"/>
                    </w:rPr>
                  </w:pPr>
                </w:p>
              </w:tc>
            </w:tr>
            <w:tr w14:paraId="48D71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1F4B">
                  <w:pPr>
                    <w:snapToGrid w:val="0"/>
                    <w:jc w:val="both"/>
                    <w:rPr>
                      <w:rFonts w:hint="eastAsia" w:ascii="宋体" w:hAnsi="宋体" w:eastAsia="宋体" w:cs="宋体"/>
                      <w:color w:val="auto"/>
                      <w:kern w:val="2"/>
                      <w:sz w:val="18"/>
                      <w:szCs w:val="18"/>
                      <w:highlight w:val="none"/>
                      <w:lang w:val="en-US" w:eastAsia="zh-CN" w:bidi="ar-SA"/>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62328">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设备支持</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38D2">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类型、加工能力</w:t>
                  </w:r>
                </w:p>
              </w:tc>
              <w:tc>
                <w:tcPr>
                  <w:tcW w:w="2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85EB5">
                  <w:pPr>
                    <w:snapToGrid w:val="0"/>
                    <w:jc w:val="both"/>
                    <w:rPr>
                      <w:rFonts w:hint="eastAsia" w:ascii="宋体" w:hAnsi="宋体" w:eastAsia="宋体" w:cs="宋体"/>
                      <w:color w:val="auto"/>
                      <w:kern w:val="2"/>
                      <w:sz w:val="18"/>
                      <w:szCs w:val="18"/>
                      <w:highlight w:val="none"/>
                      <w:lang w:val="en-US" w:eastAsia="zh-CN" w:bidi="ar-SA"/>
                    </w:rPr>
                  </w:pPr>
                </w:p>
              </w:tc>
            </w:tr>
            <w:tr w14:paraId="01926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ECC24">
                  <w:pPr>
                    <w:snapToGrid w:val="0"/>
                    <w:jc w:val="both"/>
                    <w:rPr>
                      <w:rFonts w:hint="eastAsia" w:ascii="宋体" w:hAnsi="宋体" w:eastAsia="宋体" w:cs="宋体"/>
                      <w:color w:val="auto"/>
                      <w:kern w:val="2"/>
                      <w:sz w:val="18"/>
                      <w:szCs w:val="18"/>
                      <w:highlight w:val="none"/>
                      <w:lang w:val="en-US" w:eastAsia="zh-CN" w:bidi="ar-SA"/>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BBB5A">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生产加工支持</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F3F92">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类型、加工能力</w:t>
                  </w:r>
                </w:p>
              </w:tc>
              <w:tc>
                <w:tcPr>
                  <w:tcW w:w="2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39D52">
                  <w:pPr>
                    <w:snapToGrid w:val="0"/>
                    <w:jc w:val="both"/>
                    <w:rPr>
                      <w:rFonts w:hint="eastAsia" w:ascii="宋体" w:hAnsi="宋体" w:eastAsia="宋体" w:cs="宋体"/>
                      <w:color w:val="auto"/>
                      <w:kern w:val="2"/>
                      <w:sz w:val="18"/>
                      <w:szCs w:val="18"/>
                      <w:highlight w:val="none"/>
                      <w:lang w:val="en-US" w:eastAsia="zh-CN" w:bidi="ar-SA"/>
                    </w:rPr>
                  </w:pPr>
                </w:p>
              </w:tc>
            </w:tr>
            <w:tr w14:paraId="2EC41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40AA8">
                  <w:pPr>
                    <w:snapToGrid w:val="0"/>
                    <w:jc w:val="both"/>
                    <w:rPr>
                      <w:rFonts w:hint="eastAsia" w:ascii="宋体" w:hAnsi="宋体" w:eastAsia="宋体" w:cs="宋体"/>
                      <w:color w:val="auto"/>
                      <w:kern w:val="2"/>
                      <w:sz w:val="18"/>
                      <w:szCs w:val="18"/>
                      <w:highlight w:val="none"/>
                      <w:lang w:val="en-US" w:eastAsia="zh-CN" w:bidi="ar-SA"/>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5EBDA">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备品备件支持</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8A043">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类型、尺寸</w:t>
                  </w:r>
                </w:p>
              </w:tc>
              <w:tc>
                <w:tcPr>
                  <w:tcW w:w="2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70E5A">
                  <w:pPr>
                    <w:snapToGrid w:val="0"/>
                    <w:jc w:val="both"/>
                    <w:rPr>
                      <w:rFonts w:hint="eastAsia" w:ascii="宋体" w:hAnsi="宋体" w:eastAsia="宋体" w:cs="宋体"/>
                      <w:color w:val="auto"/>
                      <w:kern w:val="2"/>
                      <w:sz w:val="18"/>
                      <w:szCs w:val="18"/>
                      <w:highlight w:val="none"/>
                      <w:lang w:val="en-US" w:eastAsia="zh-CN" w:bidi="ar-SA"/>
                    </w:rPr>
                  </w:pPr>
                </w:p>
              </w:tc>
            </w:tr>
            <w:tr w14:paraId="2E721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2717">
                  <w:pPr>
                    <w:snapToGrid w:val="0"/>
                    <w:jc w:val="both"/>
                    <w:rPr>
                      <w:rFonts w:hint="eastAsia" w:ascii="宋体" w:hAnsi="宋体" w:eastAsia="宋体" w:cs="宋体"/>
                      <w:color w:val="auto"/>
                      <w:kern w:val="2"/>
                      <w:sz w:val="18"/>
                      <w:szCs w:val="18"/>
                      <w:highlight w:val="none"/>
                      <w:lang w:val="en-US" w:eastAsia="zh-CN" w:bidi="ar-SA"/>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0FA9">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其他技术支持</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C439">
                  <w:pPr>
                    <w:snapToGrid w:val="0"/>
                    <w:jc w:val="both"/>
                    <w:rPr>
                      <w:rFonts w:hint="eastAsia" w:ascii="宋体" w:hAnsi="宋体" w:eastAsia="宋体" w:cs="宋体"/>
                      <w:color w:val="auto"/>
                      <w:kern w:val="2"/>
                      <w:sz w:val="18"/>
                      <w:szCs w:val="18"/>
                      <w:highlight w:val="none"/>
                      <w:lang w:val="en-US" w:eastAsia="zh-CN" w:bidi="ar-SA"/>
                    </w:rPr>
                  </w:pPr>
                </w:p>
              </w:tc>
              <w:tc>
                <w:tcPr>
                  <w:tcW w:w="2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A89D8">
                  <w:pPr>
                    <w:snapToGrid w:val="0"/>
                    <w:jc w:val="both"/>
                    <w:rPr>
                      <w:rFonts w:hint="eastAsia" w:ascii="宋体" w:hAnsi="宋体" w:eastAsia="宋体" w:cs="宋体"/>
                      <w:color w:val="auto"/>
                      <w:kern w:val="2"/>
                      <w:sz w:val="18"/>
                      <w:szCs w:val="18"/>
                      <w:highlight w:val="none"/>
                      <w:lang w:val="en-US" w:eastAsia="zh-CN" w:bidi="ar-SA"/>
                    </w:rPr>
                  </w:pPr>
                </w:p>
              </w:tc>
            </w:tr>
            <w:tr w14:paraId="2149C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9ED8">
                  <w:pPr>
                    <w:snapToGrid w:val="0"/>
                    <w:jc w:val="both"/>
                    <w:rPr>
                      <w:rFonts w:hint="eastAsia" w:ascii="宋体" w:hAnsi="宋体" w:eastAsia="宋体" w:cs="宋体"/>
                      <w:color w:val="auto"/>
                      <w:kern w:val="2"/>
                      <w:sz w:val="18"/>
                      <w:szCs w:val="18"/>
                      <w:highlight w:val="none"/>
                      <w:lang w:val="en-US" w:eastAsia="zh-CN" w:bidi="ar-SA"/>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B85A2">
                  <w:pPr>
                    <w:snapToGrid w:val="0"/>
                    <w:jc w:val="both"/>
                    <w:rPr>
                      <w:rFonts w:hint="eastAsia" w:ascii="宋体" w:hAnsi="宋体" w:eastAsia="宋体" w:cs="宋体"/>
                      <w:color w:val="auto"/>
                      <w:kern w:val="2"/>
                      <w:sz w:val="18"/>
                      <w:szCs w:val="18"/>
                      <w:highlight w:val="none"/>
                      <w:lang w:val="en-US" w:eastAsia="zh-CN" w:bidi="ar-SA"/>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2003">
                  <w:pPr>
                    <w:snapToGrid w:val="0"/>
                    <w:jc w:val="both"/>
                    <w:rPr>
                      <w:rFonts w:hint="eastAsia" w:ascii="宋体" w:hAnsi="宋体" w:eastAsia="宋体" w:cs="宋体"/>
                      <w:color w:val="auto"/>
                      <w:kern w:val="2"/>
                      <w:sz w:val="18"/>
                      <w:szCs w:val="18"/>
                      <w:highlight w:val="none"/>
                      <w:lang w:val="en-US" w:eastAsia="zh-CN" w:bidi="ar-SA"/>
                    </w:rPr>
                  </w:pP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8AE7">
                  <w:pPr>
                    <w:snapToGrid w:val="0"/>
                    <w:jc w:val="both"/>
                    <w:rPr>
                      <w:rFonts w:hint="eastAsia" w:ascii="宋体" w:hAnsi="宋体" w:eastAsia="宋体" w:cs="宋体"/>
                      <w:color w:val="auto"/>
                      <w:kern w:val="2"/>
                      <w:sz w:val="18"/>
                      <w:szCs w:val="18"/>
                      <w:highlight w:val="none"/>
                      <w:lang w:val="en-US" w:eastAsia="zh-CN" w:bidi="ar-SA"/>
                    </w:rPr>
                  </w:pPr>
                </w:p>
              </w:tc>
            </w:tr>
          </w:tbl>
          <w:p w14:paraId="20B0DC91">
            <w:pPr>
              <w:numPr>
                <w:ilvl w:val="0"/>
                <w:numId w:val="9"/>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“企业需求清单”内容及功能不变，由主菜单移至“需求清单”下的子菜单。</w:t>
            </w:r>
          </w:p>
          <w:p w14:paraId="3485CC73">
            <w:pPr>
              <w:numPr>
                <w:ilvl w:val="0"/>
                <w:numId w:val="9"/>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“学校需求清单”内容及功能：</w:t>
            </w:r>
          </w:p>
          <w:tbl>
            <w:tblPr>
              <w:tblStyle w:val="18"/>
              <w:tblW w:w="64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0"/>
              <w:gridCol w:w="1813"/>
              <w:gridCol w:w="1617"/>
              <w:gridCol w:w="2450"/>
            </w:tblGrid>
            <w:tr w14:paraId="1EE6E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8143">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一级目录</w:t>
                  </w: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F954B">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二级</w:t>
                  </w:r>
                </w:p>
                <w:p w14:paraId="340BF351">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目录</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9C8CF">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三级目录</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342A8">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服务能力描述</w:t>
                  </w:r>
                </w:p>
              </w:tc>
            </w:tr>
            <w:tr w14:paraId="30923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19DB5">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专业人员服务</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1234">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兼课人员需求</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5A564">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w:t>
                  </w:r>
                </w:p>
              </w:tc>
              <w:tc>
                <w:tcPr>
                  <w:tcW w:w="2450" w:type="dxa"/>
                  <w:vMerge w:val="restart"/>
                  <w:tcBorders>
                    <w:top w:val="single" w:color="000000" w:sz="4" w:space="0"/>
                    <w:left w:val="single" w:color="000000" w:sz="4" w:space="0"/>
                    <w:right w:val="single" w:color="000000" w:sz="4" w:space="0"/>
                  </w:tcBorders>
                  <w:shd w:val="clear" w:color="auto" w:fill="auto"/>
                  <w:vAlign w:val="center"/>
                </w:tcPr>
                <w:p w14:paraId="7BED5436">
                  <w:pPr>
                    <w:snapToGrid w:val="0"/>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kern w:val="2"/>
                      <w:sz w:val="18"/>
                      <w:szCs w:val="18"/>
                      <w:highlight w:val="none"/>
                      <w:lang w:val="en-US" w:eastAsia="zh-CN" w:bidi="ar-SA"/>
                    </w:rPr>
                    <w:t>需明确需求单位，需求的数量，职称/技术等级，专业能力、专业年限、工作业绩等要求，可用时间（段）等或微信/电话联系。</w:t>
                  </w:r>
                </w:p>
              </w:tc>
            </w:tr>
            <w:tr w14:paraId="09DCE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590" w:type="dxa"/>
                  <w:vMerge w:val="continue"/>
                  <w:tcBorders>
                    <w:left w:val="single" w:color="000000" w:sz="4" w:space="0"/>
                    <w:right w:val="single" w:color="000000" w:sz="4" w:space="0"/>
                  </w:tcBorders>
                  <w:shd w:val="clear" w:color="auto" w:fill="auto"/>
                  <w:noWrap/>
                  <w:vAlign w:val="center"/>
                </w:tcPr>
                <w:p w14:paraId="0B09CC33">
                  <w:pPr>
                    <w:snapToGrid w:val="0"/>
                    <w:jc w:val="both"/>
                    <w:rPr>
                      <w:rFonts w:hint="eastAsia" w:ascii="宋体" w:hAnsi="宋体" w:eastAsia="宋体" w:cs="宋体"/>
                      <w:color w:val="auto"/>
                      <w:kern w:val="2"/>
                      <w:sz w:val="18"/>
                      <w:szCs w:val="18"/>
                      <w:highlight w:val="none"/>
                      <w:lang w:val="en-US" w:eastAsia="zh-CN" w:bidi="ar-SA"/>
                    </w:rPr>
                  </w:pP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D8E52">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专业建设、课程开发人员需求</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00D8A">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w:t>
                  </w:r>
                </w:p>
              </w:tc>
              <w:tc>
                <w:tcPr>
                  <w:tcW w:w="2450" w:type="dxa"/>
                  <w:vMerge w:val="continue"/>
                  <w:tcBorders>
                    <w:left w:val="single" w:color="000000" w:sz="4" w:space="0"/>
                    <w:right w:val="single" w:color="000000" w:sz="4" w:space="0"/>
                  </w:tcBorders>
                  <w:shd w:val="clear" w:color="auto" w:fill="auto"/>
                  <w:vAlign w:val="center"/>
                </w:tcPr>
                <w:p w14:paraId="0C2B7526">
                  <w:pPr>
                    <w:snapToGrid w:val="0"/>
                    <w:jc w:val="both"/>
                    <w:rPr>
                      <w:rFonts w:hint="eastAsia" w:ascii="宋体" w:hAnsi="宋体" w:eastAsia="宋体" w:cs="宋体"/>
                      <w:color w:val="auto"/>
                      <w:kern w:val="2"/>
                      <w:sz w:val="18"/>
                      <w:szCs w:val="18"/>
                      <w:highlight w:val="none"/>
                      <w:lang w:val="en-US" w:eastAsia="zh-CN" w:bidi="ar-SA"/>
                    </w:rPr>
                  </w:pPr>
                </w:p>
              </w:tc>
            </w:tr>
            <w:tr w14:paraId="42221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110E4">
                  <w:pPr>
                    <w:snapToGrid w:val="0"/>
                    <w:jc w:val="both"/>
                    <w:rPr>
                      <w:rFonts w:hint="eastAsia" w:ascii="宋体" w:hAnsi="宋体" w:eastAsia="宋体" w:cs="宋体"/>
                      <w:color w:val="auto"/>
                      <w:kern w:val="2"/>
                      <w:sz w:val="18"/>
                      <w:szCs w:val="18"/>
                      <w:highlight w:val="none"/>
                      <w:lang w:val="en-US" w:eastAsia="zh-CN" w:bidi="ar-SA"/>
                    </w:rPr>
                  </w:pP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3D9DF">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参赛人员需求</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1CC07">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w:t>
                  </w:r>
                </w:p>
              </w:tc>
              <w:tc>
                <w:tcPr>
                  <w:tcW w:w="2450" w:type="dxa"/>
                  <w:vMerge w:val="continue"/>
                  <w:tcBorders>
                    <w:left w:val="single" w:color="000000" w:sz="4" w:space="0"/>
                    <w:right w:val="single" w:color="000000" w:sz="4" w:space="0"/>
                  </w:tcBorders>
                  <w:shd w:val="clear" w:color="auto" w:fill="auto"/>
                  <w:vAlign w:val="center"/>
                </w:tcPr>
                <w:p w14:paraId="00DF4502">
                  <w:pPr>
                    <w:snapToGrid w:val="0"/>
                    <w:jc w:val="both"/>
                    <w:rPr>
                      <w:rFonts w:hint="eastAsia" w:ascii="宋体" w:hAnsi="宋体" w:eastAsia="宋体" w:cs="宋体"/>
                      <w:color w:val="auto"/>
                      <w:kern w:val="2"/>
                      <w:sz w:val="18"/>
                      <w:szCs w:val="18"/>
                      <w:highlight w:val="none"/>
                      <w:lang w:val="en-US" w:eastAsia="zh-CN" w:bidi="ar-SA"/>
                    </w:rPr>
                  </w:pPr>
                </w:p>
              </w:tc>
            </w:tr>
            <w:tr w14:paraId="1B089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4403">
                  <w:pPr>
                    <w:snapToGrid w:val="0"/>
                    <w:jc w:val="both"/>
                    <w:rPr>
                      <w:rFonts w:hint="eastAsia" w:ascii="宋体" w:hAnsi="宋体" w:eastAsia="宋体" w:cs="宋体"/>
                      <w:color w:val="auto"/>
                      <w:kern w:val="2"/>
                      <w:sz w:val="18"/>
                      <w:szCs w:val="18"/>
                      <w:highlight w:val="none"/>
                      <w:lang w:val="en-US" w:eastAsia="zh-CN" w:bidi="ar-SA"/>
                    </w:rPr>
                  </w:pP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2EF8C">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科研、创新人员需求</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1C5B">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w:t>
                  </w:r>
                </w:p>
              </w:tc>
              <w:tc>
                <w:tcPr>
                  <w:tcW w:w="2450" w:type="dxa"/>
                  <w:vMerge w:val="continue"/>
                  <w:tcBorders>
                    <w:left w:val="single" w:color="000000" w:sz="4" w:space="0"/>
                    <w:right w:val="single" w:color="000000" w:sz="4" w:space="0"/>
                  </w:tcBorders>
                  <w:shd w:val="clear" w:color="auto" w:fill="auto"/>
                  <w:vAlign w:val="center"/>
                </w:tcPr>
                <w:p w14:paraId="190664A8">
                  <w:pPr>
                    <w:snapToGrid w:val="0"/>
                    <w:jc w:val="both"/>
                    <w:rPr>
                      <w:rFonts w:hint="eastAsia" w:ascii="宋体" w:hAnsi="宋体" w:eastAsia="宋体" w:cs="宋体"/>
                      <w:color w:val="auto"/>
                      <w:kern w:val="2"/>
                      <w:sz w:val="18"/>
                      <w:szCs w:val="18"/>
                      <w:highlight w:val="none"/>
                      <w:lang w:val="en-US" w:eastAsia="zh-CN" w:bidi="ar-SA"/>
                    </w:rPr>
                  </w:pPr>
                </w:p>
              </w:tc>
            </w:tr>
            <w:tr w14:paraId="277F0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ABFF3">
                  <w:pPr>
                    <w:snapToGrid w:val="0"/>
                    <w:jc w:val="both"/>
                    <w:rPr>
                      <w:rFonts w:hint="eastAsia" w:ascii="宋体" w:hAnsi="宋体" w:eastAsia="宋体" w:cs="宋体"/>
                      <w:color w:val="auto"/>
                      <w:kern w:val="2"/>
                      <w:sz w:val="18"/>
                      <w:szCs w:val="18"/>
                      <w:highlight w:val="none"/>
                      <w:lang w:val="en-US" w:eastAsia="zh-CN" w:bidi="ar-SA"/>
                    </w:rPr>
                  </w:pP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102F2">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其他人员需求</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A9FED">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w:t>
                  </w:r>
                </w:p>
              </w:tc>
              <w:tc>
                <w:tcPr>
                  <w:tcW w:w="2450" w:type="dxa"/>
                  <w:vMerge w:val="continue"/>
                  <w:tcBorders>
                    <w:left w:val="single" w:color="000000" w:sz="4" w:space="0"/>
                    <w:bottom w:val="single" w:color="000000" w:sz="4" w:space="0"/>
                    <w:right w:val="single" w:color="000000" w:sz="4" w:space="0"/>
                  </w:tcBorders>
                  <w:shd w:val="clear" w:color="auto" w:fill="auto"/>
                  <w:vAlign w:val="center"/>
                </w:tcPr>
                <w:p w14:paraId="71D1DDB0">
                  <w:pPr>
                    <w:snapToGrid w:val="0"/>
                    <w:jc w:val="both"/>
                    <w:rPr>
                      <w:rFonts w:hint="eastAsia" w:ascii="宋体" w:hAnsi="宋体" w:eastAsia="宋体" w:cs="宋体"/>
                      <w:color w:val="auto"/>
                      <w:kern w:val="2"/>
                      <w:sz w:val="18"/>
                      <w:szCs w:val="18"/>
                      <w:highlight w:val="none"/>
                      <w:lang w:val="en-US" w:eastAsia="zh-CN" w:bidi="ar-SA"/>
                    </w:rPr>
                  </w:pPr>
                </w:p>
              </w:tc>
            </w:tr>
            <w:tr w14:paraId="0FBE4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44294">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专业环境与设备需求</w:t>
                  </w: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D453">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实训场地需求</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4668C">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种类</w:t>
                  </w:r>
                </w:p>
              </w:tc>
              <w:tc>
                <w:tcPr>
                  <w:tcW w:w="2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A9584">
                  <w:pPr>
                    <w:pStyle w:val="2"/>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可提供设备、加工、测量等服务。</w:t>
                  </w:r>
                </w:p>
                <w:p w14:paraId="1F47E512">
                  <w:pPr>
                    <w:pStyle w:val="2"/>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kern w:val="2"/>
                      <w:sz w:val="18"/>
                      <w:szCs w:val="18"/>
                      <w:highlight w:val="none"/>
                      <w:lang w:val="en-US" w:eastAsia="zh-CN" w:bidi="ar-SA"/>
                    </w:rPr>
                    <w:t>需明确提供单位，数量，相关参数（如设备名称、品牌型号、加工能力、精度等），可用时间（段）等或微信/电话联系。</w:t>
                  </w:r>
                </w:p>
              </w:tc>
            </w:tr>
            <w:tr w14:paraId="30053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E01CE">
                  <w:pPr>
                    <w:snapToGrid w:val="0"/>
                    <w:jc w:val="both"/>
                    <w:rPr>
                      <w:rFonts w:hint="eastAsia" w:ascii="宋体" w:hAnsi="宋体" w:eastAsia="宋体" w:cs="宋体"/>
                      <w:color w:val="auto"/>
                      <w:kern w:val="2"/>
                      <w:sz w:val="18"/>
                      <w:szCs w:val="18"/>
                      <w:highlight w:val="none"/>
                      <w:lang w:val="en-US" w:eastAsia="zh-CN" w:bidi="ar-SA"/>
                    </w:rPr>
                  </w:pP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C4A44">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检测检验需求</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36508">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种类、精度</w:t>
                  </w: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348AA">
                  <w:pPr>
                    <w:snapToGrid w:val="0"/>
                    <w:jc w:val="both"/>
                    <w:rPr>
                      <w:rFonts w:hint="eastAsia" w:ascii="宋体" w:hAnsi="宋体" w:eastAsia="宋体" w:cs="宋体"/>
                      <w:color w:val="auto"/>
                      <w:kern w:val="2"/>
                      <w:sz w:val="18"/>
                      <w:szCs w:val="18"/>
                      <w:highlight w:val="none"/>
                      <w:lang w:val="en-US" w:eastAsia="zh-CN" w:bidi="ar-SA"/>
                    </w:rPr>
                  </w:pPr>
                </w:p>
              </w:tc>
            </w:tr>
            <w:tr w14:paraId="498B4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88E92">
                  <w:pPr>
                    <w:snapToGrid w:val="0"/>
                    <w:jc w:val="both"/>
                    <w:rPr>
                      <w:rFonts w:hint="eastAsia" w:ascii="宋体" w:hAnsi="宋体" w:eastAsia="宋体" w:cs="宋体"/>
                      <w:color w:val="auto"/>
                      <w:kern w:val="2"/>
                      <w:sz w:val="18"/>
                      <w:szCs w:val="18"/>
                      <w:highlight w:val="none"/>
                      <w:lang w:val="en-US" w:eastAsia="zh-CN" w:bidi="ar-SA"/>
                    </w:rPr>
                  </w:pP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504BA">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设备需求</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40511">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类型、加工能力</w:t>
                  </w: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73158">
                  <w:pPr>
                    <w:snapToGrid w:val="0"/>
                    <w:jc w:val="both"/>
                    <w:rPr>
                      <w:rFonts w:hint="eastAsia" w:ascii="宋体" w:hAnsi="宋体" w:eastAsia="宋体" w:cs="宋体"/>
                      <w:color w:val="auto"/>
                      <w:kern w:val="2"/>
                      <w:sz w:val="18"/>
                      <w:szCs w:val="18"/>
                      <w:highlight w:val="none"/>
                      <w:lang w:val="en-US" w:eastAsia="zh-CN" w:bidi="ar-SA"/>
                    </w:rPr>
                  </w:pPr>
                </w:p>
              </w:tc>
            </w:tr>
            <w:tr w14:paraId="2700E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AEADE">
                  <w:pPr>
                    <w:snapToGrid w:val="0"/>
                    <w:jc w:val="both"/>
                    <w:rPr>
                      <w:rFonts w:hint="eastAsia" w:ascii="宋体" w:hAnsi="宋体" w:eastAsia="宋体" w:cs="宋体"/>
                      <w:color w:val="auto"/>
                      <w:kern w:val="2"/>
                      <w:sz w:val="18"/>
                      <w:szCs w:val="18"/>
                      <w:highlight w:val="none"/>
                      <w:lang w:val="en-US" w:eastAsia="zh-CN" w:bidi="ar-SA"/>
                    </w:rPr>
                  </w:pP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541B5">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加工需求</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1CCEB">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类型、加工能力</w:t>
                  </w: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F8D5F">
                  <w:pPr>
                    <w:snapToGrid w:val="0"/>
                    <w:jc w:val="both"/>
                    <w:rPr>
                      <w:rFonts w:hint="eastAsia" w:ascii="宋体" w:hAnsi="宋体" w:eastAsia="宋体" w:cs="宋体"/>
                      <w:color w:val="auto"/>
                      <w:kern w:val="2"/>
                      <w:sz w:val="18"/>
                      <w:szCs w:val="18"/>
                      <w:highlight w:val="none"/>
                      <w:lang w:val="en-US" w:eastAsia="zh-CN" w:bidi="ar-SA"/>
                    </w:rPr>
                  </w:pPr>
                </w:p>
              </w:tc>
            </w:tr>
            <w:tr w14:paraId="1E43C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DEF74">
                  <w:pPr>
                    <w:snapToGrid w:val="0"/>
                    <w:jc w:val="both"/>
                    <w:rPr>
                      <w:rFonts w:hint="eastAsia" w:ascii="宋体" w:hAnsi="宋体" w:eastAsia="宋体" w:cs="宋体"/>
                      <w:color w:val="auto"/>
                      <w:kern w:val="2"/>
                      <w:sz w:val="18"/>
                      <w:szCs w:val="18"/>
                      <w:highlight w:val="none"/>
                      <w:lang w:val="en-US" w:eastAsia="zh-CN" w:bidi="ar-SA"/>
                    </w:rPr>
                  </w:pP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EE60">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备品备件需求</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48133">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类型、尺寸</w:t>
                  </w: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144B2">
                  <w:pPr>
                    <w:snapToGrid w:val="0"/>
                    <w:jc w:val="both"/>
                    <w:rPr>
                      <w:rFonts w:hint="eastAsia" w:ascii="宋体" w:hAnsi="宋体" w:eastAsia="宋体" w:cs="宋体"/>
                      <w:color w:val="auto"/>
                      <w:kern w:val="2"/>
                      <w:sz w:val="18"/>
                      <w:szCs w:val="18"/>
                      <w:highlight w:val="none"/>
                      <w:lang w:val="en-US" w:eastAsia="zh-CN" w:bidi="ar-SA"/>
                    </w:rPr>
                  </w:pPr>
                </w:p>
              </w:tc>
            </w:tr>
            <w:tr w14:paraId="743C7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6A72">
                  <w:pPr>
                    <w:snapToGrid w:val="0"/>
                    <w:jc w:val="both"/>
                    <w:rPr>
                      <w:rFonts w:hint="eastAsia" w:ascii="宋体" w:hAnsi="宋体" w:eastAsia="宋体" w:cs="宋体"/>
                      <w:color w:val="auto"/>
                      <w:kern w:val="2"/>
                      <w:sz w:val="18"/>
                      <w:szCs w:val="18"/>
                      <w:highlight w:val="none"/>
                      <w:lang w:val="en-US" w:eastAsia="zh-CN" w:bidi="ar-SA"/>
                    </w:rPr>
                  </w:pP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80AA">
                  <w:pPr>
                    <w:snapToGrid w:val="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其他需求</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9DC60">
                  <w:pPr>
                    <w:snapToGrid w:val="0"/>
                    <w:jc w:val="both"/>
                    <w:rPr>
                      <w:rFonts w:hint="eastAsia" w:ascii="宋体" w:hAnsi="宋体" w:eastAsia="宋体" w:cs="宋体"/>
                      <w:color w:val="auto"/>
                      <w:kern w:val="2"/>
                      <w:sz w:val="18"/>
                      <w:szCs w:val="18"/>
                      <w:highlight w:val="none"/>
                      <w:lang w:val="en-US" w:eastAsia="zh-CN" w:bidi="ar-SA"/>
                    </w:rPr>
                  </w:pP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02AE8">
                  <w:pPr>
                    <w:snapToGrid w:val="0"/>
                    <w:jc w:val="both"/>
                    <w:rPr>
                      <w:rFonts w:hint="eastAsia" w:ascii="宋体" w:hAnsi="宋体" w:eastAsia="宋体" w:cs="宋体"/>
                      <w:color w:val="auto"/>
                      <w:kern w:val="2"/>
                      <w:sz w:val="18"/>
                      <w:szCs w:val="18"/>
                      <w:highlight w:val="none"/>
                      <w:lang w:val="en-US" w:eastAsia="zh-CN" w:bidi="ar-SA"/>
                    </w:rPr>
                  </w:pPr>
                </w:p>
              </w:tc>
            </w:tr>
          </w:tbl>
          <w:p w14:paraId="63E6FF47">
            <w:pPr>
              <w:numPr>
                <w:ilvl w:val="0"/>
                <w:numId w:val="9"/>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子菜单“政策资讯”原内容不变。</w:t>
            </w:r>
          </w:p>
          <w:p w14:paraId="0A89DDE0">
            <w:pPr>
              <w:pStyle w:val="2"/>
              <w:numPr>
                <w:ilvl w:val="0"/>
                <w:numId w:val="9"/>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子菜单“行业相关信息”包括联合体动态和行业动态信息。</w:t>
            </w:r>
          </w:p>
          <w:p w14:paraId="4E01E8EA">
            <w:pPr>
              <w:pStyle w:val="2"/>
              <w:numPr>
                <w:ilvl w:val="0"/>
                <w:numId w:val="9"/>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子菜单“数据驾驶舱”为项目（五）。</w:t>
            </w:r>
          </w:p>
          <w:p w14:paraId="54B682F2">
            <w:pPr>
              <w:pStyle w:val="2"/>
              <w:numPr>
                <w:ilvl w:val="0"/>
                <w:numId w:val="0"/>
              </w:numPr>
              <w:ind w:leftChars="0"/>
              <w:jc w:val="both"/>
              <w:rPr>
                <w:rFonts w:hint="eastAsia" w:ascii="宋体" w:hAnsi="宋体" w:eastAsia="宋体" w:cs="宋体"/>
                <w:color w:val="auto"/>
                <w:sz w:val="18"/>
                <w:szCs w:val="18"/>
                <w:highlight w:val="none"/>
                <w:lang w:val="en-US" w:eastAsia="zh-CN"/>
              </w:rPr>
            </w:pPr>
            <w:r>
              <w:rPr>
                <w:rFonts w:hint="eastAsia" w:ascii="宋体" w:hAnsi="宋体" w:eastAsia="宋体" w:cs="宋体"/>
                <w:b w:val="0"/>
                <w:bCs w:val="0"/>
                <w:color w:val="auto"/>
                <w:kern w:val="2"/>
                <w:sz w:val="18"/>
                <w:szCs w:val="18"/>
                <w:highlight w:val="none"/>
                <w:lang w:val="en-US" w:eastAsia="zh-CN" w:bidi="ar-SA"/>
              </w:rPr>
              <w:t>（8）“关</w:t>
            </w:r>
            <w:r>
              <w:rPr>
                <w:rFonts w:hint="eastAsia" w:ascii="宋体" w:hAnsi="宋体" w:eastAsia="宋体" w:cs="宋体"/>
                <w:b w:val="0"/>
                <w:bCs w:val="0"/>
                <w:color w:val="auto"/>
                <w:sz w:val="18"/>
                <w:szCs w:val="18"/>
                <w:highlight w:val="none"/>
                <w:lang w:val="en-US" w:eastAsia="zh-CN"/>
              </w:rPr>
              <w:t>于我们”原内容不变。</w:t>
            </w:r>
          </w:p>
          <w:p w14:paraId="1748CB64">
            <w:pPr>
              <w:numPr>
                <w:ilvl w:val="0"/>
                <w:numId w:val="7"/>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平台首页增加友好链接</w:t>
            </w:r>
          </w:p>
          <w:p w14:paraId="0883F7D7">
            <w:pPr>
              <w:pStyle w:val="2"/>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原“柳州市现代装备制造产教联合体信息服务平台”和“广西汽车装备数智化制造行业产教融合共同体信息服务平台”链接去掉，增加“地方特色（非遗）食品行业产教融合共同体信息服务平台”链接</w:t>
            </w:r>
            <w:r>
              <w:rPr>
                <w:rFonts w:hint="eastAsia" w:ascii="宋体" w:hAnsi="宋体" w:eastAsia="宋体" w:cs="宋体"/>
                <w:b/>
                <w:bCs/>
                <w:color w:val="auto"/>
                <w:sz w:val="18"/>
                <w:szCs w:val="18"/>
                <w:highlight w:val="none"/>
                <w:lang w:val="en-US" w:eastAsia="zh-CN"/>
              </w:rPr>
              <w:t>（首页布局见附件1;广西（柳州）汽车产教联合体信息服务平台模块部分）</w:t>
            </w:r>
            <w:r>
              <w:rPr>
                <w:rFonts w:hint="eastAsia" w:ascii="宋体" w:hAnsi="宋体" w:eastAsia="宋体" w:cs="宋体"/>
                <w:b w:val="0"/>
                <w:bCs w:val="0"/>
                <w:color w:val="auto"/>
                <w:sz w:val="18"/>
                <w:szCs w:val="18"/>
                <w:highlight w:val="none"/>
                <w:lang w:val="en-US" w:eastAsia="zh-CN"/>
              </w:rPr>
              <w:t>。</w:t>
            </w:r>
          </w:p>
          <w:p w14:paraId="6AD712DF">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（五）数据驾驶舱</w:t>
            </w:r>
          </w:p>
          <w:p w14:paraId="16C47616">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提供一站式的数据决策支持中心，深度融合平台、园区、企业、服务与需求数据，生成综合性画像与统计报告，帮助管理者深度洞察业务态势。</w:t>
            </w:r>
          </w:p>
          <w:p w14:paraId="1A36F10C">
            <w:pPr>
              <w:numPr>
                <w:ilvl w:val="0"/>
                <w:numId w:val="1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须对平台涉及的企业营收、人才薪资、联系方式、园区经济数据进行分级。</w:t>
            </w:r>
          </w:p>
          <w:p w14:paraId="18C7746D">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划分为L3（敏感）、L2（较敏感）、L1（一般）三个等级，并支持按字段粒度配置安全级别。L3级数据（营收、薪资）默认脱敏展示，仅特定授权角色可查看明文，查看明文须二次身份验证，L2级数据（联系方式、园区经济）在列表/对外展示时脱敏，详情页授权角色可查看明文</w:t>
            </w:r>
            <w:r>
              <w:rPr>
                <w:rFonts w:hint="eastAsia" w:ascii="宋体" w:hAnsi="宋体" w:eastAsia="宋体" w:cs="宋体"/>
                <w:b w:val="0"/>
                <w:bCs w:val="0"/>
                <w:color w:val="auto"/>
                <w:sz w:val="18"/>
                <w:szCs w:val="18"/>
                <w:highlight w:val="none"/>
                <w:lang w:val="en-US" w:eastAsia="zh-CN"/>
              </w:rPr>
              <w:fldChar w:fldCharType="begin"/>
            </w:r>
            <w:r>
              <w:rPr>
                <w:rFonts w:hint="eastAsia" w:ascii="宋体" w:hAnsi="宋体" w:eastAsia="宋体" w:cs="宋体"/>
                <w:b w:val="0"/>
                <w:bCs w:val="0"/>
                <w:color w:val="auto"/>
                <w:sz w:val="18"/>
                <w:szCs w:val="18"/>
                <w:highlight w:val="none"/>
                <w:lang w:val="en-US" w:eastAsia="zh-CN"/>
              </w:rPr>
              <w:instrText xml:space="preserve"> HYPERLINK "https://www.ttbz.org.cn/upload/file/20250217/6387538827995393677631505.pdf" \l "2#2" \t "https://chat.deepseek.com/a/chat/s/_blank" </w:instrText>
            </w:r>
            <w:r>
              <w:rPr>
                <w:rFonts w:hint="eastAsia" w:ascii="宋体" w:hAnsi="宋体" w:eastAsia="宋体" w:cs="宋体"/>
                <w:b w:val="0"/>
                <w:bCs w:val="0"/>
                <w:color w:val="auto"/>
                <w:sz w:val="18"/>
                <w:szCs w:val="18"/>
                <w:highlight w:val="none"/>
                <w:lang w:val="en-US" w:eastAsia="zh-CN"/>
              </w:rPr>
              <w:fldChar w:fldCharType="separate"/>
            </w:r>
            <w:r>
              <w:rPr>
                <w:rFonts w:hint="eastAsia" w:ascii="宋体" w:hAnsi="宋体" w:eastAsia="宋体" w:cs="宋体"/>
                <w:b w:val="0"/>
                <w:bCs w:val="0"/>
                <w:color w:val="auto"/>
                <w:sz w:val="18"/>
                <w:szCs w:val="18"/>
                <w:highlight w:val="none"/>
                <w:lang w:val="en-US" w:eastAsia="zh-CN"/>
              </w:rPr>
              <w:fldChar w:fldCharType="end"/>
            </w:r>
            <w:r>
              <w:rPr>
                <w:rFonts w:hint="eastAsia" w:ascii="宋体" w:hAnsi="宋体" w:eastAsia="宋体" w:cs="宋体"/>
                <w:b w:val="0"/>
                <w:bCs w:val="0"/>
                <w:color w:val="auto"/>
                <w:sz w:val="18"/>
                <w:szCs w:val="18"/>
                <w:highlight w:val="none"/>
                <w:lang w:val="en-US" w:eastAsia="zh-CN"/>
              </w:rPr>
              <w:t>，对L2及以上级别数据的访问、修改、导出等操作须完整记录，日志保存期限不少于6个月。</w:t>
            </w:r>
          </w:p>
          <w:p w14:paraId="7FF80BF7">
            <w:pPr>
              <w:numPr>
                <w:ilvl w:val="0"/>
                <w:numId w:val="1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平台总览驾驶舱。 </w:t>
            </w:r>
          </w:p>
          <w:p w14:paraId="08F76970">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展示平台总用户数、企业数、院校数、职位数、项目数、匹配成功数、活跃度趋势、访问量等关键指标，每5分钟刷新一次，具有手动刷新功能。</w:t>
            </w:r>
          </w:p>
          <w:p w14:paraId="64FCF5CD">
            <w:pPr>
              <w:numPr>
                <w:ilvl w:val="0"/>
                <w:numId w:val="1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企业数据洞察。 </w:t>
            </w:r>
          </w:p>
          <w:p w14:paraId="001444DA">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企业画像（规模、行业、创新能力）、需求发布与满足趋势、活跃度排名。</w:t>
            </w:r>
          </w:p>
          <w:p w14:paraId="3DE483CD">
            <w:pPr>
              <w:numPr>
                <w:ilvl w:val="0"/>
                <w:numId w:val="1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服务与需求分析。 </w:t>
            </w:r>
          </w:p>
          <w:p w14:paraId="7ADFDAF1">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服务资源分布、供需匹配率、热点需求进行统计与追踪，对未满足需求进行预警。</w:t>
            </w:r>
          </w:p>
          <w:p w14:paraId="01175E04">
            <w:pPr>
              <w:numPr>
                <w:ilvl w:val="0"/>
                <w:numId w:val="1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智能匹配效果分析。 </w:t>
            </w:r>
          </w:p>
          <w:p w14:paraId="6A827F52">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匹配成功率、平均匹配时长、用户反馈评分。</w:t>
            </w:r>
          </w:p>
          <w:p w14:paraId="70B5CC09">
            <w:pPr>
              <w:numPr>
                <w:ilvl w:val="0"/>
                <w:numId w:val="1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可视化图表。 </w:t>
            </w:r>
          </w:p>
          <w:p w14:paraId="2F7B7610">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使用折线图、柱状图、饼图、地图、热力图等，辅助用户分析查看，图表每5分钟刷新一次，具有手动刷新功能。</w:t>
            </w:r>
          </w:p>
          <w:p w14:paraId="5376A02A">
            <w:pPr>
              <w:numPr>
                <w:ilvl w:val="0"/>
                <w:numId w:val="1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多维度筛选。 </w:t>
            </w:r>
          </w:p>
          <w:p w14:paraId="1891054C">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支持按时间（日/周/月/年）、区域、园区、企业类型等筛选，支持组合筛选或模糊筛选。</w:t>
            </w:r>
          </w:p>
          <w:p w14:paraId="31666580">
            <w:pPr>
              <w:numPr>
                <w:ilvl w:val="0"/>
                <w:numId w:val="1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数据导出。 </w:t>
            </w:r>
          </w:p>
          <w:p w14:paraId="35473AC2">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支持以Excel/PDF形式导出图表或明细数据。导出文件自动添加隐形溯源水印（账号、导出时间、单位）；敏感明细数据导出需管理员二次审批，记录导出日志留存≥6 个月。</w:t>
            </w:r>
          </w:p>
          <w:p w14:paraId="4B1C83BC">
            <w:pPr>
              <w:numPr>
                <w:ilvl w:val="0"/>
                <w:numId w:val="1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权限控制。 </w:t>
            </w:r>
          </w:p>
          <w:p w14:paraId="26307335">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多角色授权，不同角色的领导/管理员只能看到授权范围内的数据。</w:t>
            </w:r>
          </w:p>
          <w:p w14:paraId="24A9D9B0">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（六）智能匹配系统</w:t>
            </w:r>
          </w:p>
          <w:p w14:paraId="19F8B85B">
            <w:pPr>
              <w:pStyle w:val="2"/>
              <w:numPr>
                <w:ilvl w:val="0"/>
                <w:numId w:val="11"/>
              </w:numPr>
              <w:rPr>
                <w:rFonts w:hint="eastAsia" w:ascii="宋体" w:hAnsi="宋体" w:eastAsia="宋体" w:cs="宋体"/>
                <w:b w:val="0"/>
                <w:bCs w:val="0"/>
                <w:color w:val="auto"/>
                <w:kern w:val="2"/>
                <w:sz w:val="18"/>
                <w:szCs w:val="18"/>
                <w:highlight w:val="none"/>
                <w:lang w:val="en-US" w:eastAsia="zh-CN" w:bidi="ar-SA"/>
              </w:rPr>
            </w:pPr>
            <w:r>
              <w:rPr>
                <w:rFonts w:hint="eastAsia" w:ascii="宋体" w:hAnsi="宋体" w:eastAsia="宋体" w:cs="宋体"/>
                <w:b w:val="0"/>
                <w:bCs w:val="0"/>
                <w:color w:val="auto"/>
                <w:sz w:val="18"/>
                <w:szCs w:val="18"/>
                <w:highlight w:val="none"/>
                <w:lang w:val="en-US" w:eastAsia="zh-CN"/>
              </w:rPr>
              <w:t xml:space="preserve">人才-岗位匹配。 </w:t>
            </w:r>
          </w:p>
          <w:p w14:paraId="3FA93D1C">
            <w:pPr>
              <w:pStyle w:val="2"/>
              <w:numPr>
                <w:ilvl w:val="0"/>
                <w:numId w:val="0"/>
              </w:numPr>
              <w:rPr>
                <w:rFonts w:hint="eastAsia" w:ascii="宋体" w:hAnsi="宋体" w:eastAsia="宋体" w:cs="宋体"/>
                <w:b w:val="0"/>
                <w:bCs w:val="0"/>
                <w:color w:val="auto"/>
                <w:kern w:val="2"/>
                <w:sz w:val="18"/>
                <w:szCs w:val="18"/>
                <w:highlight w:val="none"/>
                <w:lang w:val="en-US" w:eastAsia="zh-CN" w:bidi="ar-SA"/>
              </w:rPr>
            </w:pPr>
            <w:r>
              <w:rPr>
                <w:rFonts w:hint="eastAsia" w:ascii="宋体" w:hAnsi="宋体" w:eastAsia="宋体" w:cs="宋体"/>
                <w:b w:val="0"/>
                <w:bCs w:val="0"/>
                <w:color w:val="auto"/>
                <w:kern w:val="2"/>
                <w:sz w:val="18"/>
                <w:szCs w:val="18"/>
                <w:highlight w:val="none"/>
                <w:lang w:val="en-US" w:eastAsia="zh-CN" w:bidi="ar-SA"/>
              </w:rPr>
              <w:t>系统自动解析企业招聘需求，结合汽车行业岗位技能图谱，从联合体共享人才库中智能推荐适配的人力资源服务，辅助企业高效招才。</w:t>
            </w:r>
          </w:p>
          <w:p w14:paraId="79E2B0D6">
            <w:pPr>
              <w:numPr>
                <w:ilvl w:val="0"/>
                <w:numId w:val="11"/>
              </w:numPr>
              <w:ind w:left="0" w:leftChars="0" w:firstLine="0" w:firstLineChars="0"/>
              <w:jc w:val="both"/>
              <w:rPr>
                <w:rFonts w:hint="eastAsia" w:ascii="宋体" w:hAnsi="宋体" w:eastAsia="宋体" w:cs="宋体"/>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项目-团队匹配。 </w:t>
            </w:r>
          </w:p>
          <w:p w14:paraId="70E0FE70">
            <w:pPr>
              <w:numPr>
                <w:ilvl w:val="0"/>
                <w:numId w:val="0"/>
              </w:numPr>
              <w:ind w:leftChars="0"/>
              <w:jc w:val="both"/>
              <w:rPr>
                <w:rFonts w:hint="eastAsia" w:ascii="宋体" w:hAnsi="宋体" w:eastAsia="宋体" w:cs="宋体"/>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系统自动解析项目技术领域及资源需求，依托联合体专家库与案例库，智能推荐匹配的科研团队、技术专家及成功案例，辅助企业快速选定合适团队，精准解决项目需求。</w:t>
            </w:r>
          </w:p>
          <w:p w14:paraId="2562675D">
            <w:pPr>
              <w:numPr>
                <w:ilvl w:val="0"/>
                <w:numId w:val="11"/>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个性化推荐。 </w:t>
            </w:r>
          </w:p>
          <w:p w14:paraId="0B99C51D">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根据用户的岗位、技能图谱、行为记录，推荐相关的培训内容或服务。</w:t>
            </w:r>
          </w:p>
          <w:p w14:paraId="3D39C509">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（七）操作流程优化</w:t>
            </w:r>
          </w:p>
          <w:p w14:paraId="3643A716">
            <w:pPr>
              <w:numPr>
                <w:ilvl w:val="0"/>
                <w:numId w:val="12"/>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一站式注册/登录。 </w:t>
            </w:r>
          </w:p>
          <w:p w14:paraId="16B34A7B">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支持手机号、微信、邮箱等多种方式注册/登录。</w:t>
            </w:r>
          </w:p>
          <w:p w14:paraId="7EDBB779">
            <w:pPr>
              <w:numPr>
                <w:ilvl w:val="0"/>
                <w:numId w:val="12"/>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引导式流程。 </w:t>
            </w:r>
          </w:p>
          <w:p w14:paraId="67A4912E">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新用户注册后，通过引导完善信息、选择兴趣标签，快速完成平台初始化。</w:t>
            </w:r>
          </w:p>
          <w:p w14:paraId="05AA028F">
            <w:pPr>
              <w:numPr>
                <w:ilvl w:val="0"/>
                <w:numId w:val="12"/>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个性化看板。 </w:t>
            </w:r>
          </w:p>
          <w:p w14:paraId="53039FD6">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登录后首页为个人看板，展示推荐内容、待办事项、最近浏览。</w:t>
            </w:r>
          </w:p>
          <w:p w14:paraId="56B748E1">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（八）界面设计与使用体验优化</w:t>
            </w:r>
          </w:p>
          <w:p w14:paraId="54CBCF9F">
            <w:pPr>
              <w:numPr>
                <w:ilvl w:val="0"/>
                <w:numId w:val="13"/>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优化信息平台人机界面。</w:t>
            </w:r>
          </w:p>
          <w:p w14:paraId="4EE0626B">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设计原则：简洁、直观，便于查看（电脑端/手机端），操作方便,对用户友好，符合联合体/共同体的品牌特性。</w:t>
            </w:r>
          </w:p>
          <w:p w14:paraId="50078350">
            <w:pPr>
              <w:numPr>
                <w:ilvl w:val="0"/>
                <w:numId w:val="13"/>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核心功能前置。 </w:t>
            </w:r>
          </w:p>
          <w:p w14:paraId="1219B5E2">
            <w:pPr>
              <w:numPr>
                <w:ilvl w:val="0"/>
                <w:numId w:val="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“发布职位”、“找项目”等关键入口在平台首页醒目位置展示。</w:t>
            </w:r>
          </w:p>
          <w:p w14:paraId="006F2119">
            <w:pPr>
              <w:numPr>
                <w:ilvl w:val="0"/>
                <w:numId w:val="13"/>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搜索功能强化。 </w:t>
            </w:r>
          </w:p>
          <w:p w14:paraId="142F0039">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可以快速查找所需服务或需求，支持关键词、筛选、排序，并记录最近搜索。</w:t>
            </w:r>
          </w:p>
          <w:p w14:paraId="653F27BE">
            <w:pPr>
              <w:numPr>
                <w:ilvl w:val="0"/>
                <w:numId w:val="13"/>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增加预览功能。</w:t>
            </w:r>
          </w:p>
          <w:p w14:paraId="04F36039">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文章或需求发布前可以预览，所见即所得。</w:t>
            </w:r>
          </w:p>
          <w:p w14:paraId="79F8157D">
            <w:pPr>
              <w:numPr>
                <w:ilvl w:val="0"/>
                <w:numId w:val="13"/>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操作反馈。 </w:t>
            </w:r>
          </w:p>
          <w:p w14:paraId="0ED5A593">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所有提交、删除、发布等操作需有明确的成功/失败提示，编辑界面有撤销/重做按钮（可以后悔操作）。</w:t>
            </w:r>
          </w:p>
          <w:p w14:paraId="3CE8036D">
            <w:pPr>
              <w:numPr>
                <w:ilvl w:val="0"/>
                <w:numId w:val="13"/>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表单容错。 </w:t>
            </w:r>
          </w:p>
          <w:p w14:paraId="3F7C42A1">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表单提交前校验，错误提示清晰可理解，对一些选项可以灵活设置，避免出现无法发布的问题。</w:t>
            </w:r>
          </w:p>
          <w:p w14:paraId="3DDB56B9">
            <w:pPr>
              <w:numPr>
                <w:ilvl w:val="0"/>
                <w:numId w:val="13"/>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页面加载速度。 </w:t>
            </w:r>
          </w:p>
          <w:p w14:paraId="628DB2D2">
            <w:pPr>
              <w:numPr>
                <w:ilvl w:val="0"/>
                <w:numId w:val="0"/>
              </w:numPr>
              <w:ind w:left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关键页面（首页、搜索、发布）加载时间 ≤ 2秒（参考硬件条件：网络下行≥10Mbps，延迟≤50ms（模拟4G/有线宽带）；移动端：近3年主流机型（首次冷启动访问）；PC客户端i5/8GB，首次访问（冷启动））。</w:t>
            </w:r>
          </w:p>
          <w:p w14:paraId="1168C430">
            <w:pPr>
              <w:pStyle w:val="2"/>
              <w:numPr>
                <w:ilvl w:val="0"/>
                <w:numId w:val="0"/>
              </w:numPr>
              <w:ind w:leftChars="0"/>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（九）通用标准化园区管理模块</w:t>
            </w:r>
          </w:p>
          <w:p w14:paraId="05932C10">
            <w:pPr>
              <w:numPr>
                <w:ilvl w:val="0"/>
                <w:numId w:val="14"/>
              </w:numPr>
              <w:jc w:val="both"/>
              <w:rPr>
                <w:rFonts w:hint="eastAsia" w:ascii="宋体" w:hAnsi="宋体" w:eastAsia="宋体" w:cs="宋体"/>
                <w:color w:val="auto"/>
                <w:sz w:val="18"/>
                <w:szCs w:val="18"/>
                <w:highlight w:val="none"/>
                <w:lang w:val="en-US" w:eastAsia="zh-CN"/>
              </w:rPr>
            </w:pPr>
            <w:r>
              <w:rPr>
                <w:rFonts w:hint="eastAsia" w:ascii="宋体" w:hAnsi="宋体" w:eastAsia="宋体" w:cs="宋体"/>
                <w:sz w:val="18"/>
                <w:szCs w:val="18"/>
                <w:highlight w:val="none"/>
              </w:rPr>
              <w:t>支持新增产业园区</w:t>
            </w:r>
            <w:r>
              <w:rPr>
                <w:rFonts w:hint="eastAsia" w:ascii="宋体" w:hAnsi="宋体" w:eastAsia="宋体" w:cs="宋体"/>
                <w:sz w:val="18"/>
                <w:szCs w:val="18"/>
                <w:highlight w:val="none"/>
                <w:lang w:eastAsia="zh-CN"/>
              </w:rPr>
              <w:t>。</w:t>
            </w:r>
          </w:p>
          <w:p w14:paraId="17A49D9A">
            <w:pPr>
              <w:numPr>
                <w:ilvl w:val="0"/>
                <w:numId w:val="14"/>
              </w:numPr>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园区管理员权限。</w:t>
            </w:r>
          </w:p>
          <w:p w14:paraId="2FEB3038">
            <w:pPr>
              <w:numPr>
                <w:ilvl w:val="0"/>
                <w:numId w:val="0"/>
              </w:numPr>
              <w:jc w:val="both"/>
              <w:rPr>
                <w:rFonts w:hint="eastAsia" w:ascii="宋体" w:hAnsi="宋体" w:eastAsia="宋体" w:cs="宋体"/>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支持新增园区管理主体账号，可配置各园区专属管理权限、数据视图，</w:t>
            </w:r>
            <w:r>
              <w:rPr>
                <w:rFonts w:hint="eastAsia" w:ascii="宋体" w:hAnsi="宋体" w:eastAsia="宋体" w:cs="宋体"/>
                <w:color w:val="auto"/>
                <w:sz w:val="18"/>
                <w:szCs w:val="18"/>
                <w:highlight w:val="none"/>
                <w:lang w:val="en-US" w:eastAsia="zh-CN"/>
              </w:rPr>
              <w:t>可管理下属企业账号，代为维护企业公开信息。</w:t>
            </w:r>
          </w:p>
          <w:p w14:paraId="2A21606B">
            <w:pPr>
              <w:numPr>
                <w:ilvl w:val="0"/>
                <w:numId w:val="14"/>
              </w:numPr>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 xml:space="preserve">园区综合统计。 </w:t>
            </w:r>
          </w:p>
          <w:p w14:paraId="4520C576">
            <w:pPr>
              <w:numPr>
                <w:ilvl w:val="0"/>
                <w:numId w:val="0"/>
              </w:numPr>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从园区管理员账号登录，可以在数据驾驶舱按园区维度展示企业数量、人才需求、服务发布、匹配情况、经济贡献等，支持横向对比。</w:t>
            </w:r>
          </w:p>
          <w:p w14:paraId="489DFACB">
            <w:pPr>
              <w:numPr>
                <w:ilvl w:val="0"/>
                <w:numId w:val="14"/>
              </w:numPr>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 xml:space="preserve">园区数据视图。 </w:t>
            </w:r>
          </w:p>
          <w:p w14:paraId="64C438EF">
            <w:pPr>
              <w:numPr>
                <w:ilvl w:val="0"/>
                <w:numId w:val="0"/>
              </w:numPr>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数据驾驶舱提供园区内企业整体情况的统计分析视图，辅助管理决策。</w:t>
            </w:r>
          </w:p>
          <w:p w14:paraId="5A42BE44">
            <w:pPr>
              <w:numPr>
                <w:ilvl w:val="0"/>
                <w:numId w:val="14"/>
              </w:numPr>
              <w:ind w:left="0" w:leftChars="0" w:firstLine="0" w:firstLineChars="0"/>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首页（</w:t>
            </w:r>
            <w:r>
              <w:rPr>
                <w:rFonts w:hint="eastAsia" w:ascii="宋体" w:hAnsi="宋体" w:eastAsia="宋体" w:cs="宋体"/>
                <w:b/>
                <w:bCs/>
                <w:color w:val="auto"/>
                <w:sz w:val="18"/>
                <w:szCs w:val="18"/>
                <w:highlight w:val="none"/>
                <w:lang w:val="en-US" w:eastAsia="zh-CN"/>
              </w:rPr>
              <w:t>布局见附件1：通用标准化园区管理模块部分</w:t>
            </w:r>
            <w:r>
              <w:rPr>
                <w:rFonts w:hint="eastAsia" w:ascii="宋体" w:hAnsi="宋体" w:eastAsia="宋体" w:cs="宋体"/>
                <w:color w:val="auto"/>
                <w:sz w:val="18"/>
                <w:szCs w:val="18"/>
                <w:highlight w:val="none"/>
                <w:lang w:val="en-US" w:eastAsia="zh-CN"/>
              </w:rPr>
              <w:t>）主菜单包括：首页、园区简介、企业风采、资讯中心、数据驾驶舱。</w:t>
            </w:r>
          </w:p>
          <w:p w14:paraId="5A8BE98C">
            <w:pPr>
              <w:numPr>
                <w:ilvl w:val="0"/>
                <w:numId w:val="2"/>
              </w:numPr>
              <w:ind w:left="9" w:leftChars="0" w:hanging="9" w:hangingChars="5"/>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kern w:val="2"/>
                <w:sz w:val="18"/>
                <w:szCs w:val="18"/>
                <w:highlight w:val="none"/>
                <w:lang w:val="en-US" w:eastAsia="zh-CN" w:bidi="ar-SA"/>
              </w:rPr>
              <w:t>柳州市现代装备制造产教联合体信息服务平台搭建</w:t>
            </w:r>
          </w:p>
          <w:p w14:paraId="750073FD">
            <w:pPr>
              <w:pStyle w:val="2"/>
              <w:numPr>
                <w:ilvl w:val="0"/>
                <w:numId w:val="15"/>
              </w:numPr>
              <w:ind w:left="0" w:leftChars="0" w:firstLine="0" w:firstLineChars="0"/>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通用模块，复用主平台所有功能，参照广西（柳州）汽车产教联合体信息服务平台框架搭建，达到平台优化后的指标。</w:t>
            </w:r>
          </w:p>
          <w:p w14:paraId="5667BDB5">
            <w:pPr>
              <w:pStyle w:val="2"/>
              <w:numPr>
                <w:ilvl w:val="0"/>
                <w:numId w:val="15"/>
              </w:numPr>
              <w:ind w:left="-420" w:leftChars="0" w:firstLine="420" w:firstLineChars="0"/>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行业差异化定制模块</w:t>
            </w:r>
          </w:p>
          <w:p w14:paraId="30F1F619">
            <w:pPr>
              <w:numPr>
                <w:ilvl w:val="0"/>
                <w:numId w:val="16"/>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color w:val="auto"/>
                <w:sz w:val="18"/>
                <w:szCs w:val="18"/>
                <w:highlight w:val="none"/>
                <w:lang w:val="en-US" w:eastAsia="zh-CN"/>
              </w:rPr>
              <w:t>首页（</w:t>
            </w:r>
            <w:r>
              <w:rPr>
                <w:rFonts w:hint="eastAsia" w:ascii="宋体" w:hAnsi="宋体" w:eastAsia="宋体" w:cs="宋体"/>
                <w:b/>
                <w:bCs/>
                <w:color w:val="auto"/>
                <w:sz w:val="18"/>
                <w:szCs w:val="18"/>
                <w:highlight w:val="none"/>
                <w:lang w:val="en-US" w:eastAsia="zh-CN"/>
              </w:rPr>
              <w:t>布局见附件1：柳州市现代装备制造产教联合体信息服务平台部分</w:t>
            </w:r>
            <w:r>
              <w:rPr>
                <w:rFonts w:hint="eastAsia" w:ascii="宋体" w:hAnsi="宋体" w:eastAsia="宋体" w:cs="宋体"/>
                <w:color w:val="auto"/>
                <w:sz w:val="18"/>
                <w:szCs w:val="18"/>
                <w:highlight w:val="none"/>
                <w:lang w:val="en-US" w:eastAsia="zh-CN"/>
              </w:rPr>
              <w:t>）主菜单包括：首页、</w:t>
            </w:r>
            <w:r>
              <w:rPr>
                <w:rFonts w:hint="eastAsia" w:ascii="宋体" w:hAnsi="宋体" w:eastAsia="宋体" w:cs="宋体"/>
                <w:b w:val="0"/>
                <w:bCs w:val="0"/>
                <w:color w:val="auto"/>
                <w:sz w:val="18"/>
                <w:szCs w:val="18"/>
                <w:highlight w:val="none"/>
                <w:lang w:val="en-US" w:eastAsia="zh-CN"/>
              </w:rPr>
              <w:t>服务清单、需求清单、资讯中心</w:t>
            </w:r>
            <w:r>
              <w:rPr>
                <w:rFonts w:hint="eastAsia" w:ascii="宋体" w:hAnsi="宋体" w:eastAsia="宋体" w:cs="宋体"/>
                <w:color w:val="auto"/>
                <w:sz w:val="18"/>
                <w:szCs w:val="18"/>
                <w:highlight w:val="none"/>
                <w:lang w:val="en-US" w:eastAsia="zh-CN"/>
              </w:rPr>
              <w:t>、更多五个模块。</w:t>
            </w:r>
          </w:p>
          <w:p w14:paraId="34DCD42E">
            <w:pPr>
              <w:numPr>
                <w:ilvl w:val="0"/>
                <w:numId w:val="16"/>
              </w:numPr>
              <w:ind w:left="0" w:leftChars="0" w:firstLine="0" w:firstLineChars="0"/>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首页增加</w:t>
            </w:r>
            <w:r>
              <w:rPr>
                <w:rFonts w:hint="eastAsia" w:ascii="宋体" w:hAnsi="宋体" w:eastAsia="宋体" w:cs="宋体"/>
                <w:b w:val="0"/>
                <w:bCs w:val="0"/>
                <w:sz w:val="18"/>
                <w:szCs w:val="18"/>
                <w:highlight w:val="none"/>
                <w:lang w:val="en-US" w:eastAsia="zh-CN"/>
              </w:rPr>
              <w:t>AI客服导航，需要时可以点击呼唤出来，日常隐藏为小图标。</w:t>
            </w:r>
          </w:p>
          <w:p w14:paraId="3D1F374B">
            <w:pPr>
              <w:numPr>
                <w:ilvl w:val="0"/>
                <w:numId w:val="16"/>
              </w:numPr>
              <w:jc w:val="both"/>
              <w:rPr>
                <w:rFonts w:hint="eastAsia" w:ascii="宋体" w:hAnsi="宋体" w:eastAsia="宋体" w:cs="宋体"/>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管理员权限。 平台超级管理员可设置、管理下属管理员账号（具有新建、授权、编辑、删除下级管理员权限），可以代为维护公开信息。</w:t>
            </w:r>
          </w:p>
          <w:p w14:paraId="2C714805">
            <w:pPr>
              <w:numPr>
                <w:ilvl w:val="0"/>
                <w:numId w:val="2"/>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kern w:val="2"/>
                <w:sz w:val="18"/>
                <w:szCs w:val="18"/>
                <w:highlight w:val="none"/>
                <w:lang w:val="en-US" w:eastAsia="zh-CN" w:bidi="ar-SA"/>
              </w:rPr>
              <w:t>广西汽车装备数智化制造行业产教融合共同体信息服务平台搭建</w:t>
            </w:r>
          </w:p>
          <w:p w14:paraId="56BFB62A">
            <w:pPr>
              <w:pStyle w:val="2"/>
              <w:numPr>
                <w:ilvl w:val="0"/>
                <w:numId w:val="17"/>
              </w:numPr>
              <w:ind w:left="0" w:leftChars="0" w:firstLine="0" w:firstLineChars="0"/>
              <w:jc w:val="both"/>
              <w:rPr>
                <w:rFonts w:hint="eastAsia" w:ascii="宋体" w:hAnsi="宋体" w:eastAsia="宋体" w:cs="宋体"/>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 </w:t>
            </w:r>
            <w:r>
              <w:rPr>
                <w:rFonts w:hint="eastAsia" w:ascii="宋体" w:hAnsi="宋体" w:eastAsia="宋体" w:cs="宋体"/>
                <w:color w:val="auto"/>
                <w:sz w:val="18"/>
                <w:szCs w:val="18"/>
                <w:highlight w:val="none"/>
                <w:lang w:val="en-US" w:eastAsia="zh-CN"/>
              </w:rPr>
              <w:t>通用模块，复用主平台所有功能，参照广西（柳州）汽车产教联合体信息服务平台框架搭建，达到平台优化后的指标。</w:t>
            </w:r>
          </w:p>
          <w:p w14:paraId="063A836D">
            <w:pPr>
              <w:pStyle w:val="2"/>
              <w:numPr>
                <w:ilvl w:val="0"/>
                <w:numId w:val="17"/>
              </w:numPr>
              <w:ind w:left="-420" w:leftChars="0" w:firstLine="420" w:firstLineChars="0"/>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行业差异化定制模块</w:t>
            </w:r>
          </w:p>
          <w:p w14:paraId="45014C49">
            <w:pPr>
              <w:numPr>
                <w:ilvl w:val="0"/>
                <w:numId w:val="18"/>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color w:val="auto"/>
                <w:sz w:val="18"/>
                <w:szCs w:val="18"/>
                <w:highlight w:val="none"/>
                <w:lang w:val="en-US" w:eastAsia="zh-CN"/>
              </w:rPr>
              <w:t>首页（</w:t>
            </w:r>
            <w:r>
              <w:rPr>
                <w:rFonts w:hint="eastAsia" w:ascii="宋体" w:hAnsi="宋体" w:eastAsia="宋体" w:cs="宋体"/>
                <w:b/>
                <w:bCs/>
                <w:color w:val="auto"/>
                <w:sz w:val="18"/>
                <w:szCs w:val="18"/>
                <w:highlight w:val="none"/>
                <w:lang w:val="en-US" w:eastAsia="zh-CN"/>
              </w:rPr>
              <w:t>布局见附件1：</w:t>
            </w:r>
            <w:r>
              <w:rPr>
                <w:rFonts w:hint="eastAsia" w:ascii="宋体" w:hAnsi="宋体" w:eastAsia="宋体" w:cs="宋体"/>
                <w:b/>
                <w:bCs/>
                <w:color w:val="auto"/>
                <w:kern w:val="2"/>
                <w:sz w:val="18"/>
                <w:szCs w:val="18"/>
                <w:highlight w:val="none"/>
                <w:lang w:val="en-US" w:eastAsia="zh-CN" w:bidi="ar-SA"/>
              </w:rPr>
              <w:t>广西汽车装备数智化制造行业产教融合共同体信息服务平台部分</w:t>
            </w:r>
            <w:r>
              <w:rPr>
                <w:rFonts w:hint="eastAsia" w:ascii="宋体" w:hAnsi="宋体" w:eastAsia="宋体" w:cs="宋体"/>
                <w:color w:val="auto"/>
                <w:sz w:val="18"/>
                <w:szCs w:val="18"/>
                <w:highlight w:val="none"/>
                <w:lang w:val="en-US" w:eastAsia="zh-CN"/>
              </w:rPr>
              <w:t>）主菜单包括：首页、</w:t>
            </w:r>
            <w:r>
              <w:rPr>
                <w:rFonts w:hint="eastAsia" w:ascii="宋体" w:hAnsi="宋体" w:eastAsia="宋体" w:cs="宋体"/>
                <w:b w:val="0"/>
                <w:bCs w:val="0"/>
                <w:color w:val="auto"/>
                <w:sz w:val="18"/>
                <w:szCs w:val="18"/>
                <w:highlight w:val="none"/>
                <w:lang w:val="en-US" w:eastAsia="zh-CN"/>
              </w:rPr>
              <w:t>服务清单、需求清单、资讯中心</w:t>
            </w:r>
            <w:r>
              <w:rPr>
                <w:rFonts w:hint="eastAsia" w:ascii="宋体" w:hAnsi="宋体" w:eastAsia="宋体" w:cs="宋体"/>
                <w:color w:val="auto"/>
                <w:sz w:val="18"/>
                <w:szCs w:val="18"/>
                <w:highlight w:val="none"/>
                <w:lang w:val="en-US" w:eastAsia="zh-CN"/>
              </w:rPr>
              <w:t>、更多五个模块。</w:t>
            </w:r>
          </w:p>
          <w:p w14:paraId="169427B9">
            <w:pPr>
              <w:numPr>
                <w:ilvl w:val="0"/>
                <w:numId w:val="18"/>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color w:val="auto"/>
                <w:sz w:val="18"/>
                <w:szCs w:val="18"/>
                <w:highlight w:val="none"/>
                <w:lang w:val="en-US" w:eastAsia="zh-CN"/>
              </w:rPr>
              <w:t>首页增加</w:t>
            </w:r>
            <w:r>
              <w:rPr>
                <w:rFonts w:hint="eastAsia" w:ascii="宋体" w:hAnsi="宋体" w:eastAsia="宋体" w:cs="宋体"/>
                <w:b w:val="0"/>
                <w:bCs w:val="0"/>
                <w:sz w:val="18"/>
                <w:szCs w:val="18"/>
                <w:highlight w:val="none"/>
                <w:lang w:val="en-US" w:eastAsia="zh-CN"/>
              </w:rPr>
              <w:t>AI客服导航，需要时可以点击呼唤出来，平时隐藏为一小图标</w:t>
            </w:r>
            <w:r>
              <w:rPr>
                <w:rFonts w:hint="eastAsia" w:ascii="宋体" w:hAnsi="宋体" w:eastAsia="宋体" w:cs="宋体"/>
                <w:b w:val="0"/>
                <w:bCs w:val="0"/>
                <w:color w:val="auto"/>
                <w:sz w:val="18"/>
                <w:szCs w:val="18"/>
                <w:highlight w:val="none"/>
                <w:lang w:val="en-US" w:eastAsia="zh-CN"/>
              </w:rPr>
              <w:t>。</w:t>
            </w:r>
          </w:p>
          <w:p w14:paraId="529AC26B">
            <w:pPr>
              <w:numPr>
                <w:ilvl w:val="0"/>
                <w:numId w:val="18"/>
              </w:numPr>
              <w:ind w:left="0" w:leftChars="0" w:firstLine="0" w:firstLineChars="0"/>
              <w:jc w:val="both"/>
              <w:rPr>
                <w:rFonts w:hint="eastAsia" w:ascii="宋体" w:hAnsi="宋体" w:eastAsia="宋体" w:cs="宋体"/>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管理员权限。 平台超级管理员可设置、管理下属管理员账号（具有新建、授权、编辑、删除下级管理员权限），可以代为维护公开信息。</w:t>
            </w:r>
          </w:p>
          <w:p w14:paraId="266B0A0E">
            <w:pPr>
              <w:numPr>
                <w:ilvl w:val="0"/>
                <w:numId w:val="2"/>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kern w:val="2"/>
                <w:sz w:val="18"/>
                <w:szCs w:val="18"/>
                <w:highlight w:val="none"/>
                <w:lang w:val="en-US" w:eastAsia="zh-CN" w:bidi="ar-SA"/>
              </w:rPr>
              <w:t>地方特色（非遗）食品行业产教融合共同体信息服务平台搭建</w:t>
            </w:r>
          </w:p>
          <w:p w14:paraId="0B5558DE">
            <w:pPr>
              <w:pStyle w:val="2"/>
              <w:numPr>
                <w:ilvl w:val="0"/>
                <w:numId w:val="19"/>
              </w:numPr>
              <w:ind w:left="0" w:leftChars="0" w:firstLine="0" w:firstLineChars="0"/>
              <w:jc w:val="both"/>
              <w:rPr>
                <w:rFonts w:hint="eastAsia" w:ascii="宋体" w:hAnsi="宋体" w:eastAsia="宋体" w:cs="宋体"/>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 </w:t>
            </w:r>
            <w:r>
              <w:rPr>
                <w:rFonts w:hint="eastAsia" w:ascii="宋体" w:hAnsi="宋体" w:eastAsia="宋体" w:cs="宋体"/>
                <w:color w:val="auto"/>
                <w:sz w:val="18"/>
                <w:szCs w:val="18"/>
                <w:highlight w:val="none"/>
                <w:lang w:val="en-US" w:eastAsia="zh-CN"/>
              </w:rPr>
              <w:t>通用模块，复用主平台所有功能，参照广西（柳州）汽车产教联合体信息服务平台框架搭建，达到平台优化后的指标。</w:t>
            </w:r>
          </w:p>
          <w:p w14:paraId="637E9B67">
            <w:pPr>
              <w:pStyle w:val="2"/>
              <w:numPr>
                <w:ilvl w:val="0"/>
                <w:numId w:val="19"/>
              </w:numPr>
              <w:ind w:left="-420" w:leftChars="0" w:firstLine="420" w:firstLineChars="0"/>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行业差异化定制模块</w:t>
            </w:r>
          </w:p>
          <w:p w14:paraId="21D309F0">
            <w:pPr>
              <w:numPr>
                <w:ilvl w:val="0"/>
                <w:numId w:val="2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color w:val="auto"/>
                <w:sz w:val="18"/>
                <w:szCs w:val="18"/>
                <w:highlight w:val="none"/>
                <w:lang w:val="en-US" w:eastAsia="zh-CN"/>
              </w:rPr>
              <w:t>首页（</w:t>
            </w:r>
            <w:r>
              <w:rPr>
                <w:rFonts w:hint="eastAsia" w:ascii="宋体" w:hAnsi="宋体" w:eastAsia="宋体" w:cs="宋体"/>
                <w:b/>
                <w:bCs/>
                <w:color w:val="auto"/>
                <w:sz w:val="18"/>
                <w:szCs w:val="18"/>
                <w:highlight w:val="none"/>
                <w:lang w:val="en-US" w:eastAsia="zh-CN"/>
              </w:rPr>
              <w:t>布局见附件1：</w:t>
            </w:r>
            <w:r>
              <w:rPr>
                <w:rFonts w:hint="eastAsia" w:ascii="宋体" w:hAnsi="宋体" w:eastAsia="宋体" w:cs="宋体"/>
                <w:b/>
                <w:bCs/>
                <w:color w:val="auto"/>
                <w:kern w:val="2"/>
                <w:sz w:val="18"/>
                <w:szCs w:val="18"/>
                <w:highlight w:val="none"/>
                <w:lang w:val="en-US" w:eastAsia="zh-CN" w:bidi="ar-SA"/>
              </w:rPr>
              <w:t>地方特色（非遗）食品行业产教融合共同体信息服务平台部分</w:t>
            </w:r>
            <w:r>
              <w:rPr>
                <w:rFonts w:hint="eastAsia" w:ascii="宋体" w:hAnsi="宋体" w:eastAsia="宋体" w:cs="宋体"/>
                <w:color w:val="auto"/>
                <w:sz w:val="18"/>
                <w:szCs w:val="18"/>
                <w:highlight w:val="none"/>
                <w:lang w:val="en-US" w:eastAsia="zh-CN"/>
              </w:rPr>
              <w:t>）主菜单包括：首页、成员单位介绍、特色（非遗）产品展示、服务清单、需求清单、非遗特色服务六个模块</w:t>
            </w:r>
            <w:r>
              <w:rPr>
                <w:rFonts w:hint="eastAsia" w:ascii="宋体" w:hAnsi="宋体" w:eastAsia="宋体" w:cs="宋体"/>
                <w:b/>
                <w:bCs/>
                <w:color w:val="auto"/>
                <w:sz w:val="18"/>
                <w:szCs w:val="18"/>
                <w:highlight w:val="none"/>
                <w:lang w:val="en-US" w:eastAsia="zh-CN"/>
              </w:rPr>
              <w:t>（内容设置见附件2：地方特色（非遗）食品行业产教融合共同体信息服务平台建设框架）</w:t>
            </w:r>
            <w:r>
              <w:rPr>
                <w:rFonts w:hint="eastAsia" w:ascii="宋体" w:hAnsi="宋体" w:eastAsia="宋体" w:cs="宋体"/>
                <w:color w:val="auto"/>
                <w:sz w:val="18"/>
                <w:szCs w:val="18"/>
                <w:highlight w:val="none"/>
                <w:lang w:val="en-US" w:eastAsia="zh-CN"/>
              </w:rPr>
              <w:t>。</w:t>
            </w:r>
          </w:p>
          <w:p w14:paraId="103D3C8C">
            <w:pPr>
              <w:numPr>
                <w:ilvl w:val="0"/>
                <w:numId w:val="2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color w:val="auto"/>
                <w:sz w:val="18"/>
                <w:szCs w:val="18"/>
                <w:highlight w:val="none"/>
                <w:lang w:val="en-US" w:eastAsia="zh-CN"/>
              </w:rPr>
              <w:t>首页增加</w:t>
            </w:r>
            <w:r>
              <w:rPr>
                <w:rFonts w:hint="eastAsia" w:ascii="宋体" w:hAnsi="宋体" w:eastAsia="宋体" w:cs="宋体"/>
                <w:b w:val="0"/>
                <w:bCs w:val="0"/>
                <w:sz w:val="18"/>
                <w:szCs w:val="18"/>
                <w:highlight w:val="none"/>
                <w:lang w:val="en-US" w:eastAsia="zh-CN"/>
              </w:rPr>
              <w:t>AI客服导航，需要时可以点击呼唤出来，平时隐藏为一小图标。</w:t>
            </w:r>
          </w:p>
          <w:p w14:paraId="10CA15C1">
            <w:pPr>
              <w:numPr>
                <w:ilvl w:val="0"/>
                <w:numId w:val="20"/>
              </w:numPr>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管理员权限。 平台超级管理员可设置、管理下属成员单位账号（具有新建、授权、编辑、删除下级管理员权限），可以代为维护公开信息。</w:t>
            </w:r>
          </w:p>
          <w:p w14:paraId="36D69757">
            <w:pPr>
              <w:pStyle w:val="2"/>
              <w:rPr>
                <w:rFonts w:hint="eastAsia"/>
                <w:lang w:val="en-US" w:eastAsia="zh-CN"/>
              </w:rPr>
            </w:pPr>
            <w:r>
              <w:rPr>
                <w:rFonts w:hint="eastAsia" w:ascii="宋体" w:hAnsi="宋体" w:eastAsia="宋体" w:cs="宋体"/>
                <w:color w:val="auto"/>
                <w:sz w:val="18"/>
                <w:szCs w:val="18"/>
                <w:highlight w:val="none"/>
                <w:lang w:val="en-US" w:eastAsia="zh-CN"/>
              </w:rPr>
              <w:t>特色（非遗）产品展示和非遗特色服务等栏目均支持非遗产品图片（支持JPEG、PNG、GIF和WebP、SVG‌等主流图片格式）、视频（支持MP4、WebM、Ogg‌等主流视频格式）的上传展示，并可以在平台流畅摆放（窗口或全屏模式），无花屏、失真、变形、卡顿等缺陷。</w:t>
            </w:r>
          </w:p>
          <w:p w14:paraId="5268839F">
            <w:pPr>
              <w:numPr>
                <w:ilvl w:val="0"/>
                <w:numId w:val="2"/>
              </w:numPr>
              <w:ind w:left="0" w:leftChars="0" w:firstLine="0" w:firstLineChars="0"/>
              <w:jc w:val="both"/>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kern w:val="2"/>
                <w:sz w:val="18"/>
                <w:szCs w:val="18"/>
                <w:highlight w:val="none"/>
                <w:lang w:val="en-US" w:eastAsia="zh-CN" w:bidi="ar-SA"/>
              </w:rPr>
              <w:t>项目综合</w:t>
            </w:r>
          </w:p>
          <w:p w14:paraId="23D40707">
            <w:pPr>
              <w:numPr>
                <w:ilvl w:val="0"/>
                <w:numId w:val="21"/>
              </w:numPr>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AI进行关键词审核时，审核的准确率95%以上、误报率5%以下、漏报率1%以下，管理后台支持手动维护词库。</w:t>
            </w:r>
          </w:p>
          <w:p w14:paraId="690AAE8C">
            <w:pPr>
              <w:numPr>
                <w:ilvl w:val="0"/>
                <w:numId w:val="21"/>
              </w:numPr>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strike w:val="0"/>
                <w:dstrike w:val="0"/>
                <w:color w:val="auto"/>
                <w:kern w:val="0"/>
                <w:sz w:val="18"/>
                <w:szCs w:val="18"/>
                <w:highlight w:val="none"/>
                <w:lang w:val="en-US" w:eastAsia="zh-CN" w:bidi="ar-SA"/>
              </w:rPr>
              <w:t>参照</w:t>
            </w:r>
            <w:r>
              <w:rPr>
                <w:rFonts w:hint="eastAsia" w:ascii="宋体" w:hAnsi="宋体" w:eastAsia="宋体" w:cs="宋体"/>
                <w:color w:val="auto"/>
                <w:kern w:val="0"/>
                <w:sz w:val="18"/>
                <w:szCs w:val="18"/>
                <w:highlight w:val="none"/>
                <w:lang w:val="en-US" w:eastAsia="zh-CN" w:bidi="ar-SA"/>
              </w:rPr>
              <w:t>国家标准《信息技术客服型虚拟数字人通用技术要求》（GB/T 46483-2025）的规定，客服型虚拟数字人的语义理解正确率应不低于85%，情感交互成功率应不低于80%，语音响应不超过2秒，意图识别准确率行业基准为90%以上，首次解决率90%以上。</w:t>
            </w:r>
          </w:p>
          <w:p w14:paraId="427BAE09">
            <w:pPr>
              <w:numPr>
                <w:ilvl w:val="0"/>
                <w:numId w:val="21"/>
              </w:numPr>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所有子项目复用功能无需重复开发，多实例独立部署，各子系统代码和数据完全独立。</w:t>
            </w:r>
          </w:p>
          <w:p w14:paraId="2E95E4DE">
            <w:pPr>
              <w:numPr>
                <w:ilvl w:val="0"/>
                <w:numId w:val="21"/>
              </w:numPr>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平台内所有企业、院校、产业数据权属归业主用户所有，报价人不得截留、外传或将用户平台数据商用。</w:t>
            </w:r>
          </w:p>
          <w:p w14:paraId="1A2A1F91">
            <w:pPr>
              <w:numPr>
                <w:ilvl w:val="0"/>
                <w:numId w:val="21"/>
              </w:numPr>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各信息平台前后端分离，接口标准化，支持二次开发与对接。</w:t>
            </w:r>
          </w:p>
          <w:p w14:paraId="7C9B6BC9">
            <w:pPr>
              <w:numPr>
                <w:ilvl w:val="0"/>
                <w:numId w:val="21"/>
              </w:numPr>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每个平台支持用户量：≥10000 注册用户；系统可用性：≥99.5%。</w:t>
            </w:r>
          </w:p>
          <w:p w14:paraId="561F32F4">
            <w:pPr>
              <w:numPr>
                <w:ilvl w:val="0"/>
                <w:numId w:val="21"/>
              </w:numPr>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系统支持500用户同时执行核心业务操作（含登录、查询、提交三类操作混合场景），</w:t>
            </w:r>
            <w:r>
              <w:rPr>
                <w:rFonts w:hint="eastAsia" w:ascii="宋体" w:hAnsi="宋体" w:eastAsia="宋体" w:cs="宋体"/>
                <w:color w:val="auto"/>
                <w:kern w:val="2"/>
                <w:sz w:val="18"/>
                <w:szCs w:val="18"/>
                <w:highlight w:val="none"/>
                <w:lang w:val="en-US" w:eastAsia="zh-CN" w:bidi="ar-SA"/>
              </w:rPr>
              <w:t>在典型环境下</w:t>
            </w:r>
            <w:r>
              <w:rPr>
                <w:rFonts w:hint="eastAsia" w:ascii="宋体" w:hAnsi="宋体" w:eastAsia="宋体" w:cs="宋体"/>
                <w:color w:val="auto"/>
                <w:kern w:val="0"/>
                <w:sz w:val="18"/>
                <w:szCs w:val="18"/>
                <w:highlight w:val="none"/>
                <w:lang w:val="en-US" w:eastAsia="zh-CN" w:bidi="ar-SA"/>
              </w:rPr>
              <w:t>须</w:t>
            </w:r>
            <w:r>
              <w:rPr>
                <w:rFonts w:hint="eastAsia" w:ascii="宋体" w:hAnsi="宋体" w:eastAsia="宋体" w:cs="宋体"/>
                <w:color w:val="auto"/>
                <w:kern w:val="2"/>
                <w:sz w:val="18"/>
                <w:szCs w:val="18"/>
                <w:highlight w:val="none"/>
                <w:lang w:val="en-US" w:eastAsia="zh-CN" w:bidi="ar-SA"/>
              </w:rPr>
              <w:t>满足以下要求：</w:t>
            </w:r>
            <w:r>
              <w:rPr>
                <w:rFonts w:hint="eastAsia" w:ascii="宋体" w:hAnsi="宋体" w:eastAsia="宋体" w:cs="宋体"/>
                <w:color w:val="auto"/>
                <w:kern w:val="0"/>
                <w:sz w:val="18"/>
                <w:szCs w:val="18"/>
                <w:highlight w:val="none"/>
                <w:lang w:val="en-US" w:eastAsia="zh-CN" w:bidi="ar-SA"/>
              </w:rPr>
              <w:t>错误率≤1%；关键页面（首页、搜索、发布）首屏加载≤2秒；普通页面≤3秒；核心接口（登录、查询、提交）95%请求响应≤1秒；非核心接口</w:t>
            </w:r>
            <w:r>
              <w:rPr>
                <w:rFonts w:hint="eastAsia" w:ascii="宋体" w:hAnsi="宋体" w:eastAsia="宋体" w:cs="宋体"/>
                <w:color w:val="auto"/>
                <w:kern w:val="2"/>
                <w:sz w:val="18"/>
                <w:szCs w:val="18"/>
                <w:highlight w:val="none"/>
                <w:lang w:val="en-US" w:eastAsia="zh-CN" w:bidi="ar-SA"/>
              </w:rPr>
              <w:t xml:space="preserve"> 95% 请求响应 </w:t>
            </w:r>
            <w:r>
              <w:rPr>
                <w:rFonts w:hint="eastAsia" w:ascii="宋体" w:hAnsi="宋体" w:eastAsia="宋体" w:cs="宋体"/>
                <w:color w:val="auto"/>
                <w:kern w:val="0"/>
                <w:sz w:val="18"/>
                <w:szCs w:val="18"/>
                <w:highlight w:val="none"/>
                <w:lang w:val="en-US" w:eastAsia="zh-CN" w:bidi="ar-SA"/>
              </w:rPr>
              <w:t>≤3秒。</w:t>
            </w:r>
            <w:r>
              <w:rPr>
                <w:rFonts w:hint="eastAsia" w:ascii="宋体" w:hAnsi="宋体" w:eastAsia="宋体" w:cs="宋体"/>
                <w:color w:val="auto"/>
                <w:kern w:val="2"/>
                <w:sz w:val="18"/>
                <w:szCs w:val="18"/>
                <w:highlight w:val="none"/>
                <w:lang w:val="en-US" w:eastAsia="zh-CN" w:bidi="ar-SA"/>
              </w:rPr>
              <w:t>典型环境如下：</w:t>
            </w:r>
          </w:p>
          <w:p w14:paraId="70D68D41">
            <w:pPr>
              <w:numPr>
                <w:ilvl w:val="1"/>
                <w:numId w:val="21"/>
              </w:numPr>
              <w:tabs>
                <w:tab w:val="left" w:pos="420"/>
                <w:tab w:val="clear" w:pos="840"/>
              </w:tabs>
              <w:ind w:left="0" w:leftChars="0" w:firstLine="0" w:firstLineChars="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硬件（PC 端）：i5 十代或同级 CPU、8GB RAM、256GB SSD、1080P 分辨率；Chrome 130+ 或同内核浏览器；</w:t>
            </w:r>
          </w:p>
          <w:p w14:paraId="63D62AF0">
            <w:pPr>
              <w:numPr>
                <w:ilvl w:val="1"/>
                <w:numId w:val="21"/>
              </w:numPr>
              <w:tabs>
                <w:tab w:val="left" w:pos="420"/>
                <w:tab w:val="clear" w:pos="840"/>
              </w:tabs>
              <w:ind w:left="0" w:leftChars="0" w:firstLine="0" w:firstLineChars="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网络：良好网络（下行 ≥50Mbps、RTT ≤80ms、丢包 ≤0.1%）；</w:t>
            </w:r>
          </w:p>
          <w:p w14:paraId="15B1231D">
            <w:pPr>
              <w:numPr>
                <w:ilvl w:val="1"/>
                <w:numId w:val="21"/>
              </w:numPr>
              <w:tabs>
                <w:tab w:val="left" w:pos="420"/>
                <w:tab w:val="clear" w:pos="840"/>
              </w:tabs>
              <w:ind w:left="0" w:leftChars="0" w:firstLine="0" w:firstLineChars="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压测条件：500 并发，持续 5 分钟，登录/查询/提交按真实比例混合；</w:t>
            </w:r>
          </w:p>
          <w:p w14:paraId="63A07E37">
            <w:pPr>
              <w:numPr>
                <w:ilvl w:val="1"/>
                <w:numId w:val="21"/>
              </w:numPr>
              <w:tabs>
                <w:tab w:val="left" w:pos="0"/>
                <w:tab w:val="clear" w:pos="840"/>
              </w:tabs>
              <w:ind w:left="0" w:leftChars="0" w:firstLine="0" w:firstLineChars="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统计口径：接口响应从发出请求到收到完整响应体，含 DNS 与 TLS；首屏从路由跳转开始到关键内容渲染完成；</w:t>
            </w:r>
          </w:p>
          <w:p w14:paraId="11F0F713">
            <w:pPr>
              <w:numPr>
                <w:ilvl w:val="1"/>
                <w:numId w:val="21"/>
              </w:numPr>
              <w:tabs>
                <w:tab w:val="left" w:pos="420"/>
                <w:tab w:val="clear" w:pos="840"/>
              </w:tabs>
              <w:ind w:left="0" w:leftChars="0" w:firstLine="0" w:firstLineChars="0"/>
              <w:jc w:val="both"/>
              <w:rPr>
                <w:rFonts w:hint="eastAsia"/>
                <w:highlight w:val="none"/>
                <w:lang w:val="en-US" w:eastAsia="zh-CN"/>
              </w:rPr>
            </w:pPr>
            <w:r>
              <w:rPr>
                <w:rFonts w:hint="eastAsia" w:ascii="宋体" w:hAnsi="宋体" w:eastAsia="宋体" w:cs="宋体"/>
                <w:color w:val="auto"/>
                <w:kern w:val="2"/>
                <w:sz w:val="18"/>
                <w:szCs w:val="18"/>
                <w:highlight w:val="none"/>
                <w:lang w:val="en-US" w:eastAsia="zh-CN" w:bidi="ar-SA"/>
              </w:rPr>
              <w:t>兜底要求：低配 PC + 一般网络（20Mbps、RTT ≤150ms、丢包 ≤0.5%）下允许放宽约 30%；弱网（1Mbps）不得白屏，需有骨架屏和重试入口。</w:t>
            </w:r>
          </w:p>
          <w:p w14:paraId="5F42B43E">
            <w:pPr>
              <w:numPr>
                <w:ilvl w:val="0"/>
                <w:numId w:val="21"/>
              </w:numPr>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平台数据备份：自动备份，支持恢复，日志留存 ≥6 个月；文件存储：支持图片、附件、视频归档。</w:t>
            </w:r>
          </w:p>
          <w:p w14:paraId="67EA8C46">
            <w:pPr>
              <w:numPr>
                <w:ilvl w:val="0"/>
                <w:numId w:val="21"/>
              </w:numPr>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各信息平台信息发布机制必须遵循：（学校/企业）用户发布服务/需求信息、新闻前须进行审核</w:t>
            </w:r>
            <w:r>
              <w:rPr>
                <w:rFonts w:hint="eastAsia" w:ascii="宋体" w:hAnsi="宋体" w:eastAsia="宋体" w:cs="宋体"/>
                <w:b w:val="0"/>
                <w:bCs w:val="0"/>
                <w:sz w:val="18"/>
                <w:szCs w:val="18"/>
                <w:highlight w:val="none"/>
                <w:lang w:val="en-US" w:eastAsia="zh-CN"/>
              </w:rPr>
              <w:t>（经AI进行关键词审核，以屏蔽非法信息）</w:t>
            </w:r>
            <w:r>
              <w:rPr>
                <w:rFonts w:hint="eastAsia" w:ascii="宋体" w:hAnsi="宋体" w:eastAsia="宋体" w:cs="宋体"/>
                <w:i w:val="0"/>
                <w:iCs w:val="0"/>
                <w:color w:val="000000"/>
                <w:kern w:val="0"/>
                <w:sz w:val="18"/>
                <w:szCs w:val="18"/>
                <w:highlight w:val="none"/>
                <w:u w:val="none"/>
                <w:lang w:val="en-US" w:eastAsia="zh-CN" w:bidi="ar"/>
              </w:rPr>
              <w:t>、校对，然后提交本单位管理员（每个学校/企业都有一个）进行再次审核、校对，无误后实行一键</w:t>
            </w:r>
            <w:r>
              <w:rPr>
                <w:rFonts w:hint="eastAsia" w:ascii="宋体" w:hAnsi="宋体" w:eastAsia="宋体" w:cs="宋体"/>
                <w:i w:val="0"/>
                <w:iCs w:val="0"/>
                <w:color w:val="auto"/>
                <w:kern w:val="0"/>
                <w:sz w:val="18"/>
                <w:szCs w:val="18"/>
                <w:highlight w:val="none"/>
                <w:u w:val="none"/>
                <w:lang w:val="en-US" w:eastAsia="zh-CN" w:bidi="ar"/>
              </w:rPr>
              <w:t>发布。平台超级管理员后台监控，发现问题可以一键撤下。</w:t>
            </w:r>
          </w:p>
          <w:p w14:paraId="09B60700">
            <w:pPr>
              <w:numPr>
                <w:ilvl w:val="0"/>
                <w:numId w:val="21"/>
              </w:numPr>
              <w:jc w:val="both"/>
              <w:rPr>
                <w:rFonts w:hint="eastAsia" w:ascii="宋体" w:hAnsi="宋体" w:eastAsia="宋体" w:cs="宋体"/>
                <w:b w:val="0"/>
                <w:bCs w:val="0"/>
                <w:sz w:val="18"/>
                <w:szCs w:val="18"/>
                <w:highlight w:val="none"/>
                <w:lang w:val="en-US" w:eastAsia="zh-CN"/>
              </w:rPr>
            </w:pPr>
            <w:r>
              <w:rPr>
                <w:rFonts w:hint="eastAsia" w:ascii="宋体" w:hAnsi="宋体" w:eastAsia="宋体" w:cs="宋体"/>
                <w:color w:val="auto"/>
                <w:kern w:val="2"/>
                <w:sz w:val="18"/>
                <w:szCs w:val="18"/>
                <w:highlight w:val="none"/>
                <w:lang w:val="en-US" w:eastAsia="zh-CN" w:bidi="ar-SA"/>
              </w:rPr>
              <w:t>各信息平</w:t>
            </w:r>
            <w:r>
              <w:rPr>
                <w:rFonts w:hint="eastAsia" w:ascii="宋体" w:hAnsi="宋体" w:eastAsia="宋体" w:cs="宋体"/>
                <w:b w:val="0"/>
                <w:bCs w:val="0"/>
                <w:sz w:val="18"/>
                <w:szCs w:val="18"/>
                <w:highlight w:val="none"/>
                <w:lang w:val="en-US" w:eastAsia="zh-CN"/>
              </w:rPr>
              <w:t>台须满足以下安全要求：</w:t>
            </w:r>
          </w:p>
          <w:p w14:paraId="57FBC605">
            <w:pPr>
              <w:numPr>
                <w:ilvl w:val="1"/>
                <w:numId w:val="21"/>
              </w:numPr>
              <w:tabs>
                <w:tab w:val="left" w:pos="0"/>
                <w:tab w:val="clear" w:pos="840"/>
              </w:tabs>
              <w:ind w:left="0" w:leftChars="0" w:firstLine="0" w:firstLineChars="0"/>
              <w:jc w:val="both"/>
              <w:rPr>
                <w:rFonts w:hint="eastAsia" w:ascii="宋体" w:hAnsi="宋体" w:eastAsia="宋体" w:cs="宋体"/>
                <w:b w:val="0"/>
                <w:bCs w:val="0"/>
                <w:sz w:val="18"/>
                <w:szCs w:val="18"/>
                <w:highlight w:val="none"/>
                <w:lang w:val="en-US" w:eastAsia="zh-CN"/>
              </w:rPr>
            </w:pPr>
            <w:r>
              <w:rPr>
                <w:rFonts w:ascii="宋体" w:hAnsi="宋体" w:eastAsia="宋体" w:cs="宋体"/>
                <w:sz w:val="18"/>
                <w:szCs w:val="18"/>
                <w:highlight w:val="none"/>
              </w:rPr>
              <w:t>身份认证：支持密码复杂度、有效期、错误锁定等密码策略；</w:t>
            </w:r>
          </w:p>
          <w:p w14:paraId="3EC0FCEC">
            <w:pPr>
              <w:numPr>
                <w:ilvl w:val="1"/>
                <w:numId w:val="21"/>
              </w:numPr>
              <w:tabs>
                <w:tab w:val="left" w:pos="0"/>
                <w:tab w:val="clear" w:pos="840"/>
              </w:tabs>
              <w:ind w:left="0" w:leftChars="0" w:firstLine="0" w:firstLineChars="0"/>
              <w:jc w:val="both"/>
              <w:rPr>
                <w:rFonts w:hint="eastAsia" w:ascii="宋体" w:hAnsi="宋体" w:eastAsia="宋体" w:cs="宋体"/>
                <w:b w:val="0"/>
                <w:bCs w:val="0"/>
                <w:sz w:val="18"/>
                <w:szCs w:val="18"/>
                <w:highlight w:val="none"/>
                <w:lang w:val="en-US" w:eastAsia="zh-CN"/>
              </w:rPr>
            </w:pPr>
            <w:r>
              <w:rPr>
                <w:rFonts w:ascii="宋体" w:hAnsi="宋体" w:eastAsia="宋体" w:cs="宋体"/>
                <w:sz w:val="18"/>
                <w:szCs w:val="18"/>
                <w:highlight w:val="none"/>
              </w:rPr>
              <w:t>权限管理：支持分级授权，按角色/岗位分配权限，遵循最小权限原则，权限可回收</w:t>
            </w:r>
            <w:r>
              <w:rPr>
                <w:rFonts w:hint="eastAsia" w:ascii="宋体" w:hAnsi="宋体" w:eastAsia="宋体" w:cs="宋体"/>
                <w:sz w:val="18"/>
                <w:szCs w:val="18"/>
                <w:highlight w:val="none"/>
                <w:lang w:eastAsia="zh-CN"/>
              </w:rPr>
              <w:t>；</w:t>
            </w:r>
          </w:p>
          <w:p w14:paraId="3EAE7576">
            <w:pPr>
              <w:numPr>
                <w:ilvl w:val="1"/>
                <w:numId w:val="21"/>
              </w:numPr>
              <w:tabs>
                <w:tab w:val="left" w:pos="0"/>
                <w:tab w:val="clear" w:pos="840"/>
              </w:tabs>
              <w:ind w:left="0" w:leftChars="0" w:firstLine="0" w:firstLineChars="0"/>
              <w:jc w:val="both"/>
              <w:rPr>
                <w:rFonts w:hint="eastAsia" w:ascii="宋体" w:hAnsi="宋体" w:eastAsia="宋体" w:cs="宋体"/>
                <w:b w:val="0"/>
                <w:bCs w:val="0"/>
                <w:sz w:val="18"/>
                <w:szCs w:val="18"/>
                <w:highlight w:val="none"/>
                <w:lang w:val="en-US" w:eastAsia="zh-CN"/>
              </w:rPr>
            </w:pPr>
            <w:r>
              <w:rPr>
                <w:rFonts w:ascii="宋体" w:hAnsi="宋体" w:eastAsia="宋体" w:cs="宋体"/>
                <w:sz w:val="18"/>
                <w:szCs w:val="18"/>
                <w:highlight w:val="none"/>
              </w:rPr>
              <w:t>数据安全：手机号、身份证等敏感字段在展示、导出、日志中脱敏；传输用 HTTPS/TLS，存储对敏感字段加密</w:t>
            </w:r>
            <w:r>
              <w:rPr>
                <w:rFonts w:hint="eastAsia" w:ascii="宋体" w:hAnsi="宋体" w:eastAsia="宋体" w:cs="宋体"/>
                <w:sz w:val="18"/>
                <w:szCs w:val="18"/>
                <w:highlight w:val="none"/>
                <w:lang w:eastAsia="zh-CN"/>
              </w:rPr>
              <w:t>；</w:t>
            </w:r>
          </w:p>
          <w:p w14:paraId="095B2E0A">
            <w:pPr>
              <w:numPr>
                <w:ilvl w:val="1"/>
                <w:numId w:val="21"/>
              </w:numPr>
              <w:tabs>
                <w:tab w:val="left" w:pos="0"/>
                <w:tab w:val="clear" w:pos="840"/>
              </w:tabs>
              <w:ind w:left="0" w:leftChars="0" w:firstLine="0" w:firstLineChars="0"/>
              <w:jc w:val="both"/>
              <w:rPr>
                <w:rFonts w:hint="eastAsia" w:ascii="宋体" w:hAnsi="宋体" w:eastAsia="宋体" w:cs="宋体"/>
                <w:b w:val="0"/>
                <w:bCs w:val="0"/>
                <w:sz w:val="18"/>
                <w:szCs w:val="18"/>
                <w:highlight w:val="none"/>
                <w:lang w:val="en-US" w:eastAsia="zh-CN"/>
              </w:rPr>
            </w:pPr>
            <w:r>
              <w:rPr>
                <w:rFonts w:ascii="宋体" w:hAnsi="宋体" w:eastAsia="宋体" w:cs="宋体"/>
                <w:sz w:val="18"/>
                <w:szCs w:val="18"/>
                <w:highlight w:val="none"/>
              </w:rPr>
              <w:t>操作留痕：登录、增删改、导出、授权变更等关键操作记录日志，含操作人、时间、IP、结果，日志不可篡改</w:t>
            </w:r>
            <w:r>
              <w:rPr>
                <w:rFonts w:hint="eastAsia" w:ascii="宋体" w:hAnsi="宋体" w:eastAsia="宋体" w:cs="宋体"/>
                <w:sz w:val="18"/>
                <w:szCs w:val="18"/>
                <w:highlight w:val="none"/>
                <w:lang w:eastAsia="zh-CN"/>
              </w:rPr>
              <w:t>；</w:t>
            </w:r>
          </w:p>
          <w:p w14:paraId="68AE36A3">
            <w:pPr>
              <w:numPr>
                <w:ilvl w:val="1"/>
                <w:numId w:val="21"/>
              </w:numPr>
              <w:tabs>
                <w:tab w:val="left" w:pos="0"/>
                <w:tab w:val="clear" w:pos="840"/>
              </w:tabs>
              <w:ind w:left="0" w:leftChars="0" w:firstLine="0" w:firstLineChars="0"/>
              <w:jc w:val="both"/>
              <w:rPr>
                <w:rFonts w:hint="eastAsia" w:ascii="宋体" w:hAnsi="宋体" w:eastAsia="宋体" w:cs="宋体"/>
                <w:b w:val="0"/>
                <w:bCs w:val="0"/>
                <w:sz w:val="18"/>
                <w:szCs w:val="18"/>
                <w:highlight w:val="none"/>
                <w:lang w:val="en-US" w:eastAsia="zh-CN"/>
              </w:rPr>
            </w:pPr>
            <w:r>
              <w:rPr>
                <w:rFonts w:ascii="宋体" w:hAnsi="宋体" w:eastAsia="宋体" w:cs="宋体"/>
                <w:sz w:val="18"/>
                <w:szCs w:val="18"/>
                <w:highlight w:val="none"/>
              </w:rPr>
              <w:t>应用防护：防 SQL/命令注入、防 XSS/CSRF、防越权访问；接口须有鉴权、限流、防重放机制</w:t>
            </w:r>
            <w:r>
              <w:rPr>
                <w:rFonts w:hint="eastAsia" w:ascii="宋体" w:hAnsi="宋体" w:eastAsia="宋体" w:cs="宋体"/>
                <w:sz w:val="18"/>
                <w:szCs w:val="18"/>
                <w:highlight w:val="none"/>
                <w:lang w:eastAsia="zh-CN"/>
              </w:rPr>
              <w:t>；</w:t>
            </w:r>
          </w:p>
          <w:p w14:paraId="218D679E">
            <w:pPr>
              <w:pStyle w:val="2"/>
              <w:ind w:left="0" w:leftChars="0" w:firstLine="0" w:firstLineChars="0"/>
              <w:rPr>
                <w:rFonts w:hint="eastAsia" w:eastAsia="宋体"/>
                <w:highlight w:val="none"/>
                <w:lang w:val="en-US" w:eastAsia="zh-CN"/>
              </w:rPr>
            </w:pPr>
            <w:r>
              <w:rPr>
                <w:rFonts w:hint="eastAsia" w:ascii="宋体" w:hAnsi="宋体" w:eastAsia="宋体" w:cs="宋体"/>
                <w:kern w:val="2"/>
                <w:sz w:val="18"/>
                <w:szCs w:val="18"/>
                <w:highlight w:val="none"/>
                <w:lang w:val="en-US" w:eastAsia="zh-CN" w:bidi="ar-SA"/>
              </w:rPr>
              <w:t>（6）</w:t>
            </w:r>
            <w:r>
              <w:rPr>
                <w:rFonts w:ascii="宋体" w:hAnsi="宋体" w:eastAsia="宋体" w:cs="宋体"/>
                <w:kern w:val="2"/>
                <w:sz w:val="18"/>
                <w:szCs w:val="18"/>
                <w:highlight w:val="none"/>
                <w:lang w:val="en-US" w:eastAsia="zh-CN" w:bidi="ar-SA"/>
              </w:rPr>
              <w:t>可扩展性：</w:t>
            </w:r>
            <w:r>
              <w:rPr>
                <w:rFonts w:ascii="宋体" w:hAnsi="宋体" w:eastAsia="宋体" w:cs="宋体"/>
                <w:sz w:val="18"/>
                <w:szCs w:val="18"/>
                <w:highlight w:val="none"/>
              </w:rPr>
              <w:t>架构设计不得因先天缺陷影响后续安全加固与合规改造</w:t>
            </w:r>
            <w:r>
              <w:rPr>
                <w:rFonts w:hint="eastAsia" w:ascii="宋体" w:hAnsi="宋体" w:eastAsia="宋体" w:cs="宋体"/>
                <w:sz w:val="18"/>
                <w:szCs w:val="18"/>
                <w:highlight w:val="none"/>
                <w:lang w:eastAsia="zh-CN"/>
              </w:rPr>
              <w:t>。</w:t>
            </w:r>
          </w:p>
          <w:p w14:paraId="12E030D7">
            <w:pPr>
              <w:numPr>
                <w:ilvl w:val="0"/>
                <w:numId w:val="21"/>
              </w:numPr>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各信息平台兼容性要求：</w:t>
            </w:r>
          </w:p>
          <w:p w14:paraId="03F69B24">
            <w:pPr>
              <w:numPr>
                <w:ilvl w:val="0"/>
                <w:numId w:val="0"/>
              </w:numPr>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（1）信息平台</w:t>
            </w:r>
            <w:r>
              <w:rPr>
                <w:rFonts w:hint="eastAsia" w:ascii="宋体" w:hAnsi="宋体" w:eastAsia="宋体" w:cs="宋体"/>
                <w:color w:val="auto"/>
                <w:kern w:val="2"/>
                <w:sz w:val="18"/>
                <w:szCs w:val="18"/>
                <w:highlight w:val="none"/>
                <w:lang w:val="en-US" w:eastAsia="zh-CN" w:bidi="ar-SA"/>
              </w:rPr>
              <w:t>兼容主流浏览器（如Chromium内核浏览器、WebKit内核浏览器等），符合W3C标准等主流浏览器使用，运行流畅，无卡顿。</w:t>
            </w:r>
          </w:p>
          <w:p w14:paraId="20C70373">
            <w:pPr>
              <w:numPr>
                <w:ilvl w:val="0"/>
                <w:numId w:val="0"/>
              </w:numPr>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（2）信息平台</w:t>
            </w:r>
            <w:r>
              <w:rPr>
                <w:rFonts w:hint="eastAsia" w:ascii="宋体" w:hAnsi="宋体" w:eastAsia="宋体" w:cs="宋体"/>
                <w:color w:val="auto"/>
                <w:kern w:val="2"/>
                <w:sz w:val="18"/>
                <w:szCs w:val="18"/>
                <w:highlight w:val="none"/>
                <w:lang w:val="en-US" w:eastAsia="zh-CN" w:bidi="ar-SA"/>
              </w:rPr>
              <w:t>电脑端应兼容window、苹果操作系统，同时兼容国产化电脑（国家信创目录、适配认证要求），可正常流畅使用。</w:t>
            </w:r>
          </w:p>
          <w:p w14:paraId="5D4AC860">
            <w:pPr>
              <w:numPr>
                <w:ilvl w:val="0"/>
                <w:numId w:val="0"/>
              </w:numPr>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w:t>
            </w:r>
            <w:r>
              <w:rPr>
                <w:rFonts w:hint="eastAsia" w:ascii="宋体" w:hAnsi="宋体" w:eastAsia="宋体" w:cs="宋体"/>
                <w:color w:val="auto"/>
                <w:kern w:val="2"/>
                <w:sz w:val="18"/>
                <w:szCs w:val="18"/>
                <w:highlight w:val="none"/>
                <w:lang w:val="en-US" w:eastAsia="zh-CN" w:bidi="ar-SA"/>
              </w:rPr>
              <w:t>3）信息平台移动端兼容安卓、苹果、鸿蒙等手机端操作系统，可流畅使用。</w:t>
            </w:r>
          </w:p>
          <w:p w14:paraId="6B466438">
            <w:pPr>
              <w:numPr>
                <w:ilvl w:val="0"/>
                <w:numId w:val="21"/>
              </w:numPr>
              <w:jc w:val="both"/>
              <w:rPr>
                <w:rFonts w:hint="eastAsia" w:ascii="宋体" w:hAnsi="宋体" w:eastAsia="宋体" w:cs="宋体"/>
                <w:b w:val="0"/>
                <w:bCs w:val="0"/>
                <w:color w:val="auto"/>
                <w:kern w:val="2"/>
                <w:sz w:val="18"/>
                <w:szCs w:val="18"/>
                <w:highlight w:val="none"/>
                <w:lang w:val="en-US" w:eastAsia="zh-CN" w:bidi="ar-SA"/>
              </w:rPr>
            </w:pPr>
            <w:r>
              <w:rPr>
                <w:rFonts w:hint="eastAsia" w:ascii="宋体" w:hAnsi="宋体" w:eastAsia="宋体" w:cs="宋体"/>
                <w:b w:val="0"/>
                <w:bCs w:val="0"/>
                <w:color w:val="auto"/>
                <w:kern w:val="2"/>
                <w:sz w:val="18"/>
                <w:szCs w:val="18"/>
                <w:highlight w:val="none"/>
                <w:lang w:val="en-US" w:eastAsia="zh-CN" w:bidi="ar-SA"/>
              </w:rPr>
              <w:t>提供部署文档、接口文档、操作手册、培训视频。</w:t>
            </w:r>
          </w:p>
          <w:p w14:paraId="459FE314">
            <w:pPr>
              <w:pStyle w:val="8"/>
              <w:rPr>
                <w:rFonts w:cs="Times New Roman"/>
                <w:sz w:val="24"/>
                <w:szCs w:val="24"/>
              </w:rPr>
            </w:pPr>
            <w:r>
              <w:rPr>
                <w:rFonts w:hint="eastAsia" w:ascii="宋体" w:hAnsi="宋体" w:eastAsia="宋体" w:cs="宋体"/>
                <w:b w:val="0"/>
                <w:bCs w:val="0"/>
                <w:color w:val="auto"/>
                <w:kern w:val="2"/>
                <w:sz w:val="18"/>
                <w:szCs w:val="18"/>
                <w:highlight w:val="none"/>
                <w:lang w:val="en-US" w:eastAsia="zh-CN" w:bidi="ar-SA"/>
              </w:rPr>
              <w:t>本</w:t>
            </w:r>
            <w:r>
              <w:rPr>
                <w:rFonts w:hint="eastAsia" w:ascii="宋体" w:hAnsi="宋体" w:eastAsia="宋体" w:cs="宋体"/>
                <w:color w:val="auto"/>
                <w:kern w:val="2"/>
                <w:sz w:val="18"/>
                <w:szCs w:val="18"/>
                <w:highlight w:val="none"/>
                <w:lang w:val="en-US" w:eastAsia="zh-CN" w:bidi="ar-SA"/>
              </w:rPr>
              <w:t>项目需签订保密协议，</w:t>
            </w:r>
            <w:r>
              <w:rPr>
                <w:rFonts w:hint="eastAsia" w:ascii="宋体" w:hAnsi="宋体" w:eastAsia="宋体" w:cs="宋体"/>
                <w:b/>
                <w:bCs/>
                <w:color w:val="auto"/>
                <w:kern w:val="2"/>
                <w:sz w:val="18"/>
                <w:szCs w:val="18"/>
                <w:highlight w:val="none"/>
                <w:lang w:val="en-US" w:eastAsia="zh-CN" w:bidi="ar-SA"/>
              </w:rPr>
              <w:t>内容见附件4：信息安全保密协议。</w:t>
            </w:r>
          </w:p>
        </w:tc>
        <w:tc>
          <w:tcPr>
            <w:tcW w:w="375" w:type="dxa"/>
            <w:shd w:val="clear" w:color="auto" w:fill="auto"/>
            <w:noWrap/>
          </w:tcPr>
          <w:p w14:paraId="766D8B44">
            <w:pPr>
              <w:widowControl/>
              <w:rPr>
                <w:rFonts w:hint="eastAsia" w:ascii="Arial" w:hAnsi="Arial" w:cs="Arial" w:eastAsiaTheme="minorEastAsia"/>
                <w:kern w:val="0"/>
                <w:szCs w:val="21"/>
                <w:lang w:val="en-US" w:eastAsia="zh-CN"/>
              </w:rPr>
            </w:pPr>
            <w:r>
              <w:rPr>
                <w:rFonts w:hint="eastAsia" w:ascii="Arial" w:hAnsi="Arial" w:cs="Arial"/>
                <w:kern w:val="0"/>
                <w:szCs w:val="21"/>
                <w:lang w:val="en-US" w:eastAsia="zh-CN"/>
              </w:rPr>
              <w:t>1</w:t>
            </w:r>
          </w:p>
        </w:tc>
        <w:tc>
          <w:tcPr>
            <w:tcW w:w="465" w:type="dxa"/>
            <w:shd w:val="clear" w:color="auto" w:fill="auto"/>
            <w:noWrap/>
          </w:tcPr>
          <w:p w14:paraId="64E6022E">
            <w:pPr>
              <w:widowControl/>
              <w:rPr>
                <w:rFonts w:hint="eastAsia" w:ascii="Arial" w:hAnsi="Arial" w:cs="Arial" w:eastAsiaTheme="minorEastAsia"/>
                <w:kern w:val="0"/>
                <w:szCs w:val="21"/>
                <w:lang w:val="en-US" w:eastAsia="zh-CN"/>
              </w:rPr>
            </w:pPr>
            <w:r>
              <w:rPr>
                <w:rFonts w:hint="eastAsia" w:ascii="Arial" w:hAnsi="Arial" w:cs="Arial"/>
                <w:kern w:val="0"/>
                <w:szCs w:val="21"/>
                <w:lang w:val="en-US" w:eastAsia="zh-CN"/>
              </w:rPr>
              <w:t>项</w:t>
            </w:r>
          </w:p>
        </w:tc>
      </w:tr>
      <w:tr w14:paraId="26FB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467" w:type="dxa"/>
            <w:gridSpan w:val="2"/>
            <w:vAlign w:val="top"/>
          </w:tcPr>
          <w:p w14:paraId="6FB1BEA5">
            <w:pPr>
              <w:widowControl/>
              <w:jc w:val="both"/>
              <w:rPr>
                <w:rFonts w:ascii="Arial" w:hAnsi="Arial" w:cs="Arial"/>
                <w:color w:val="auto"/>
                <w:kern w:val="0"/>
                <w:szCs w:val="21"/>
              </w:rPr>
            </w:pPr>
            <w:r>
              <w:rPr>
                <w:rFonts w:ascii="Arial" w:hAnsi="Arial" w:cs="Arial"/>
                <w:color w:val="auto"/>
                <w:kern w:val="0"/>
                <w:szCs w:val="21"/>
              </w:rPr>
              <w:t>商务要求</w:t>
            </w:r>
          </w:p>
        </w:tc>
        <w:tc>
          <w:tcPr>
            <w:tcW w:w="8599" w:type="dxa"/>
            <w:gridSpan w:val="3"/>
            <w:shd w:val="clear" w:color="auto" w:fill="auto"/>
            <w:noWrap/>
          </w:tcPr>
          <w:p w14:paraId="09BCEC89">
            <w:pPr>
              <w:pStyle w:val="7"/>
              <w:numPr>
                <w:ilvl w:val="0"/>
                <w:numId w:val="22"/>
              </w:numPr>
              <w:rPr>
                <w:rFonts w:hint="eastAsia" w:cs="Times New Roman"/>
                <w:sz w:val="21"/>
                <w:szCs w:val="21"/>
                <w:lang w:val="en-US" w:eastAsia="zh-CN"/>
              </w:rPr>
            </w:pPr>
            <w:r>
              <w:rPr>
                <w:rFonts w:hint="eastAsia" w:cs="Times New Roman"/>
                <w:sz w:val="21"/>
                <w:szCs w:val="21"/>
                <w:lang w:val="en-US" w:eastAsia="zh-CN"/>
              </w:rPr>
              <w:t>时限要求</w:t>
            </w:r>
          </w:p>
          <w:p w14:paraId="52CEBA40">
            <w:pPr>
              <w:pStyle w:val="7"/>
              <w:numPr>
                <w:ilvl w:val="0"/>
                <w:numId w:val="0"/>
              </w:numP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（1）供货时间：自合同签订之日起</w:t>
            </w:r>
            <w:r>
              <w:rPr>
                <w:rFonts w:hint="eastAsia"/>
                <w:b/>
                <w:bCs/>
                <w:sz w:val="21"/>
                <w:szCs w:val="21"/>
                <w:u w:val="single"/>
                <w:lang w:val="en-US" w:eastAsia="zh-CN"/>
              </w:rPr>
              <w:t>60个日历日</w:t>
            </w:r>
            <w:r>
              <w:rPr>
                <w:rFonts w:hint="eastAsia"/>
                <w:sz w:val="21"/>
                <w:szCs w:val="22"/>
                <w:lang w:val="en-US" w:eastAsia="zh-CN"/>
              </w:rPr>
              <w:t>内</w:t>
            </w:r>
            <w:r>
              <w:rPr>
                <w:rFonts w:hint="eastAsia" w:ascii="宋体" w:hAnsi="宋体" w:eastAsia="宋体" w:cs="宋体"/>
                <w:color w:val="auto"/>
                <w:kern w:val="2"/>
                <w:sz w:val="20"/>
                <w:szCs w:val="20"/>
                <w:highlight w:val="none"/>
                <w:lang w:val="en-US" w:eastAsia="zh-CN" w:bidi="ar-SA"/>
              </w:rPr>
              <w:t>交付主平台（完成全部测试），之后</w:t>
            </w:r>
            <w:r>
              <w:rPr>
                <w:rFonts w:hint="eastAsia"/>
                <w:b/>
                <w:bCs/>
                <w:sz w:val="21"/>
                <w:szCs w:val="21"/>
                <w:u w:val="single"/>
                <w:lang w:val="en-US" w:eastAsia="zh-CN"/>
              </w:rPr>
              <w:t>30个日历日</w:t>
            </w:r>
            <w:r>
              <w:rPr>
                <w:rFonts w:hint="eastAsia" w:ascii="宋体" w:hAnsi="宋体" w:eastAsia="宋体" w:cs="宋体"/>
                <w:color w:val="auto"/>
                <w:kern w:val="2"/>
                <w:sz w:val="20"/>
                <w:szCs w:val="20"/>
                <w:highlight w:val="none"/>
                <w:lang w:val="en-US" w:eastAsia="zh-CN" w:bidi="ar-SA"/>
              </w:rPr>
              <w:t>交付3个子平台（完成全部测试），并完成全部项目验收。</w:t>
            </w:r>
          </w:p>
          <w:p w14:paraId="240A1621">
            <w:pPr>
              <w:spacing w:line="360" w:lineRule="auto"/>
              <w:jc w:val="left"/>
              <w:rPr>
                <w:rFonts w:cs="Times New Roman"/>
                <w:sz w:val="22"/>
                <w:szCs w:val="22"/>
              </w:rPr>
            </w:pPr>
            <w:r>
              <w:rPr>
                <w:rFonts w:hint="eastAsia" w:ascii="宋体" w:hAnsi="宋体" w:eastAsia="宋体" w:cs="宋体"/>
                <w:color w:val="auto"/>
                <w:kern w:val="2"/>
                <w:sz w:val="20"/>
                <w:szCs w:val="20"/>
                <w:highlight w:val="none"/>
                <w:lang w:val="en-US" w:eastAsia="zh-CN" w:bidi="ar-SA"/>
              </w:rPr>
              <w:t>（2）质保期：</w:t>
            </w:r>
            <w:r>
              <w:rPr>
                <w:rFonts w:hint="eastAsia" w:ascii="宋体" w:hAnsi="宋体" w:eastAsia="宋体" w:cs="宋体"/>
                <w:b w:val="0"/>
                <w:bCs w:val="0"/>
                <w:color w:val="auto"/>
                <w:kern w:val="2"/>
                <w:sz w:val="20"/>
                <w:szCs w:val="20"/>
                <w:highlight w:val="none"/>
                <w:lang w:val="en-US" w:eastAsia="zh-CN" w:bidi="ar-SA"/>
              </w:rPr>
              <w:t>自验收合格并交付使用之日起</w:t>
            </w:r>
            <w:r>
              <w:rPr>
                <w:rFonts w:hint="eastAsia" w:ascii="宋体" w:hAnsi="宋体" w:eastAsia="宋体" w:cs="宋体"/>
                <w:b/>
                <w:bCs/>
                <w:color w:val="auto"/>
                <w:kern w:val="2"/>
                <w:sz w:val="20"/>
                <w:szCs w:val="20"/>
                <w:highlight w:val="none"/>
                <w:u w:val="single"/>
                <w:lang w:val="en-US" w:eastAsia="zh-CN" w:bidi="ar-SA"/>
              </w:rPr>
              <w:t xml:space="preserve">≥ 1 </w:t>
            </w:r>
            <w:r>
              <w:rPr>
                <w:rFonts w:hint="eastAsia" w:ascii="宋体" w:hAnsi="宋体" w:eastAsia="宋体" w:cs="宋体"/>
                <w:b/>
                <w:bCs/>
                <w:color w:val="auto"/>
                <w:kern w:val="2"/>
                <w:sz w:val="20"/>
                <w:szCs w:val="20"/>
                <w:highlight w:val="none"/>
                <w:lang w:val="en-US" w:eastAsia="zh-CN" w:bidi="ar-SA"/>
              </w:rPr>
              <w:t>年。</w:t>
            </w:r>
            <w:r>
              <w:rPr>
                <w:rFonts w:hint="eastAsia" w:ascii="宋体" w:hAnsi="宋体" w:eastAsia="宋体" w:cs="宋体"/>
                <w:color w:val="auto"/>
                <w:kern w:val="2"/>
                <w:sz w:val="20"/>
                <w:szCs w:val="20"/>
                <w:highlight w:val="none"/>
                <w:lang w:val="en-US" w:eastAsia="zh-CN" w:bidi="ar-SA"/>
              </w:rPr>
              <w:t>质保期内发生重大系统故障（P1级故障）导致业务中断超 7 天的，项目质保期限自动顺延同等时长。所有平台软件质保期内全免费维护（包含但不限于修复全部功能 Bug、安全漏洞整改、性能优化、安全加固、巡检服务等）。质保期后如采购人继续长期使用，要求继续进行维保服务的，</w:t>
            </w:r>
            <w:r>
              <w:rPr>
                <w:rFonts w:hint="eastAsia" w:ascii="宋体" w:hAnsi="宋体" w:eastAsia="宋体" w:cs="宋体"/>
                <w:color w:val="auto"/>
                <w:kern w:val="0"/>
                <w:sz w:val="20"/>
                <w:szCs w:val="20"/>
                <w:highlight w:val="none"/>
                <w:lang w:eastAsia="zh-CN"/>
              </w:rPr>
              <w:t>报价人</w:t>
            </w:r>
            <w:r>
              <w:rPr>
                <w:rFonts w:hint="eastAsia" w:ascii="宋体" w:hAnsi="宋体" w:eastAsia="宋体" w:cs="宋体"/>
                <w:color w:val="auto"/>
                <w:kern w:val="0"/>
                <w:sz w:val="20"/>
                <w:szCs w:val="20"/>
                <w:highlight w:val="none"/>
                <w:lang w:val="en-US" w:eastAsia="zh-CN"/>
              </w:rPr>
              <w:t>须</w:t>
            </w:r>
            <w:r>
              <w:rPr>
                <w:rFonts w:hint="eastAsia" w:ascii="宋体" w:hAnsi="宋体" w:eastAsia="宋体" w:cs="宋体"/>
                <w:color w:val="auto"/>
                <w:kern w:val="2"/>
                <w:sz w:val="20"/>
                <w:szCs w:val="20"/>
                <w:highlight w:val="none"/>
                <w:lang w:val="en-US" w:eastAsia="zh-CN" w:bidi="ar-SA"/>
              </w:rPr>
              <w:t>持续提供技术支持与维护服务（包括远程技术支持和上门现场处理，运维服务费经双方协商，最高不超过本项目最终签订合同总额10%/年）。</w:t>
            </w:r>
          </w:p>
          <w:p w14:paraId="311BC03F">
            <w:pPr>
              <w:pStyle w:val="8"/>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06FBDB3E">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483B9373">
            <w:pPr>
              <w:pStyle w:val="8"/>
              <w:rPr>
                <w:rFonts w:cs="Times New Roman"/>
                <w:sz w:val="21"/>
                <w:szCs w:val="21"/>
              </w:rPr>
            </w:pPr>
            <w:r>
              <w:rPr>
                <w:rFonts w:hint="eastAsia" w:ascii="宋体" w:hAnsi="宋体"/>
                <w:color w:val="auto"/>
                <w:kern w:val="0"/>
                <w:szCs w:val="22"/>
                <w:lang w:val="en-US" w:eastAsia="zh-CN"/>
              </w:rPr>
              <w:t>（2）</w:t>
            </w:r>
            <w:r>
              <w:rPr>
                <w:rFonts w:hint="eastAsia" w:cs="Times New Roman"/>
                <w:sz w:val="21"/>
                <w:szCs w:val="21"/>
              </w:rPr>
              <w:t>电话、线上咨询。报价人为采购人提供技术援助，解答采购人在使用中遇到的问题，及时为采购人提出解决问题的方案。提供7</w:t>
            </w:r>
            <w:r>
              <w:rPr>
                <w:rFonts w:hint="default" w:ascii="Arial" w:hAnsi="Arial" w:cs="Arial"/>
                <w:sz w:val="21"/>
                <w:szCs w:val="21"/>
              </w:rPr>
              <w:t>×</w:t>
            </w:r>
            <w:r>
              <w:rPr>
                <w:rFonts w:hint="eastAsia" w:cs="Times New Roman"/>
                <w:sz w:val="21"/>
                <w:szCs w:val="21"/>
              </w:rPr>
              <w:t>24小时售后服务，并提供售后服务电话，出现技术故障应在接到故障通知起1小时内响应，一般问题2小时内通过远程方式解决；遇到大的问题，在接到报修通知后4小时内派技术人员到达现场排除故障，确保课程正常运行；</w:t>
            </w:r>
          </w:p>
          <w:p w14:paraId="65C4418D">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本项目</w:t>
            </w:r>
            <w:r>
              <w:rPr>
                <w:rFonts w:hint="eastAsia" w:ascii="宋体" w:hAnsi="宋体"/>
                <w:color w:val="auto"/>
                <w:kern w:val="0"/>
                <w:szCs w:val="22"/>
                <w:lang w:val="en-US" w:eastAsia="zh-CN"/>
              </w:rPr>
              <w:t>如有</w:t>
            </w:r>
            <w:r>
              <w:rPr>
                <w:rFonts w:ascii="宋体" w:hAnsi="宋体"/>
                <w:color w:val="auto"/>
                <w:kern w:val="0"/>
                <w:szCs w:val="22"/>
              </w:rPr>
              <w:t>软件（</w:t>
            </w:r>
            <w:r>
              <w:rPr>
                <w:rFonts w:hint="eastAsia" w:ascii="宋体" w:hAnsi="宋体"/>
                <w:color w:val="auto"/>
                <w:kern w:val="0"/>
                <w:szCs w:val="22"/>
                <w:lang w:val="en-US" w:eastAsia="zh-CN"/>
              </w:rPr>
              <w:t>不包括随机出厂预装</w:t>
            </w:r>
            <w:r>
              <w:rPr>
                <w:rFonts w:ascii="宋体" w:hAnsi="宋体"/>
                <w:color w:val="auto"/>
                <w:kern w:val="0"/>
                <w:szCs w:val="22"/>
              </w:rPr>
              <w:t>）</w:t>
            </w:r>
            <w:r>
              <w:rPr>
                <w:rFonts w:hint="eastAsia" w:ascii="宋体" w:hAnsi="宋体"/>
                <w:color w:val="auto"/>
                <w:kern w:val="0"/>
                <w:szCs w:val="22"/>
                <w:lang w:val="en-US" w:eastAsia="zh-CN"/>
              </w:rPr>
              <w:t>除安装在采购人本地服务器（计算机）上，还必须一式两份用U盘或移动硬盘（接口USB3.0以上质保期不低于三年）将软件安装包、软件使用说明书、技术文档、软件常规操作录屏分目录存放，验收前一并交付给采购人。</w:t>
            </w:r>
            <w:r>
              <w:rPr>
                <w:rFonts w:ascii="宋体" w:hAnsi="宋体"/>
                <w:color w:val="auto"/>
                <w:kern w:val="0"/>
                <w:szCs w:val="22"/>
              </w:rPr>
              <w:t>在本项目合同约定的质保期过后，</w:t>
            </w:r>
            <w:r>
              <w:rPr>
                <w:rFonts w:hint="eastAsia" w:ascii="宋体" w:hAnsi="宋体"/>
                <w:color w:val="auto"/>
                <w:kern w:val="0"/>
                <w:szCs w:val="22"/>
                <w:lang w:val="en-US" w:eastAsia="zh-CN"/>
              </w:rPr>
              <w:t>中标</w:t>
            </w:r>
            <w:r>
              <w:rPr>
                <w:rFonts w:hint="eastAsia" w:ascii="宋体" w:hAnsi="宋体"/>
                <w:color w:val="auto"/>
                <w:kern w:val="0"/>
                <w:szCs w:val="22"/>
                <w:lang w:eastAsia="zh-CN"/>
              </w:rPr>
              <w:t>报价人</w:t>
            </w:r>
            <w:r>
              <w:rPr>
                <w:rFonts w:ascii="宋体" w:hAnsi="宋体"/>
                <w:color w:val="auto"/>
                <w:kern w:val="0"/>
                <w:szCs w:val="22"/>
              </w:rPr>
              <w:t>需确保该软件其功能仍与交付验收时一致不受限制</w:t>
            </w:r>
            <w:r>
              <w:rPr>
                <w:rFonts w:hint="eastAsia" w:ascii="宋体" w:hAnsi="宋体"/>
                <w:color w:val="auto"/>
                <w:kern w:val="0"/>
                <w:szCs w:val="22"/>
                <w:lang w:val="en-US" w:eastAsia="zh-CN"/>
              </w:rPr>
              <w:t>或减少</w:t>
            </w:r>
            <w:r>
              <w:rPr>
                <w:rFonts w:ascii="宋体" w:hAnsi="宋体"/>
                <w:color w:val="auto"/>
                <w:kern w:val="0"/>
                <w:szCs w:val="22"/>
              </w:rPr>
              <w:t>（如合同另有约定的按合同约定），质保期过后如需对软件进行升级或售后服务双方再行协商。</w:t>
            </w:r>
          </w:p>
          <w:p w14:paraId="32BF65ED">
            <w:pPr>
              <w:snapToGrid w:val="0"/>
              <w:spacing w:line="276" w:lineRule="auto"/>
              <w:rPr>
                <w:rFonts w:hint="eastAsia" w:ascii="宋体" w:hAnsi="宋体"/>
                <w:color w:val="auto"/>
                <w:kern w:val="0"/>
                <w:szCs w:val="22"/>
                <w:lang w:val="en-US" w:eastAsia="zh-CN"/>
              </w:rPr>
            </w:pPr>
            <w:r>
              <w:rPr>
                <w:rFonts w:hint="eastAsia" w:ascii="宋体" w:hAnsi="宋体"/>
                <w:color w:val="auto"/>
                <w:kern w:val="0"/>
                <w:szCs w:val="22"/>
                <w:lang w:eastAsia="zh-CN"/>
              </w:rPr>
              <w:t>（</w:t>
            </w:r>
            <w:r>
              <w:rPr>
                <w:rFonts w:hint="eastAsia" w:ascii="宋体" w:hAnsi="宋体"/>
                <w:color w:val="auto"/>
                <w:kern w:val="0"/>
                <w:szCs w:val="22"/>
                <w:lang w:val="en-US" w:eastAsia="zh-CN"/>
              </w:rPr>
              <w:t>4</w:t>
            </w:r>
            <w:r>
              <w:rPr>
                <w:rFonts w:hint="eastAsia" w:ascii="宋体" w:hAnsi="宋体"/>
                <w:color w:val="auto"/>
                <w:kern w:val="0"/>
                <w:szCs w:val="22"/>
                <w:lang w:eastAsia="zh-CN"/>
              </w:rPr>
              <w:t>）</w:t>
            </w:r>
            <w:r>
              <w:rPr>
                <w:rFonts w:ascii="宋体" w:hAnsi="宋体"/>
                <w:color w:val="auto"/>
                <w:kern w:val="0"/>
                <w:szCs w:val="22"/>
              </w:rPr>
              <w:t>本项目所含软件（如有）必须为符合采购人适用范围的正版软件（非试用版），</w:t>
            </w:r>
            <w:r>
              <w:rPr>
                <w:rFonts w:hint="eastAsia" w:ascii="宋体" w:hAnsi="宋体"/>
                <w:color w:val="auto"/>
                <w:kern w:val="0"/>
                <w:szCs w:val="22"/>
                <w:lang w:eastAsia="zh-CN"/>
              </w:rPr>
              <w:t>且</w:t>
            </w:r>
            <w:r>
              <w:rPr>
                <w:rFonts w:hint="eastAsia" w:ascii="宋体" w:hAnsi="宋体"/>
                <w:color w:val="auto"/>
                <w:kern w:val="0"/>
                <w:szCs w:val="22"/>
                <w:lang w:val="en-US" w:eastAsia="zh-CN"/>
              </w:rPr>
              <w:t>根据网络安全法及信息系统等级保护的相关规定，在正式验收前必须经采购人网信部门进行安全扫描，扫描合格后方能进行正式部署及正式验收。若中标报价人对扫描结果有异议，可委托双方认可的具备相关资质第三方检测机构进行检测，相关费用由中标报价人承担。</w:t>
            </w:r>
          </w:p>
          <w:p w14:paraId="4AF3A3E6">
            <w:pPr>
              <w:pStyle w:val="8"/>
              <w:rPr>
                <w:rFonts w:hint="default" w:cs="Times New Roman"/>
                <w:color w:val="auto"/>
                <w:sz w:val="21"/>
                <w:szCs w:val="21"/>
                <w:lang w:val="en-US" w:eastAsia="zh-CN"/>
              </w:rPr>
            </w:pPr>
            <w:r>
              <w:rPr>
                <w:rFonts w:hint="eastAsia" w:cs="Times New Roman"/>
                <w:color w:val="auto"/>
                <w:sz w:val="21"/>
                <w:szCs w:val="21"/>
                <w:lang w:val="en-US" w:eastAsia="zh-CN"/>
              </w:rPr>
              <w:t>3.知识产权</w:t>
            </w:r>
          </w:p>
          <w:p w14:paraId="66DF4661">
            <w:pPr>
              <w:pStyle w:val="8"/>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EA50F">
            <w:pPr>
              <w:pStyle w:val="8"/>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5C7B3E89">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7E36845A">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176294E1">
            <w:pPr>
              <w:widowControl/>
              <w:numPr>
                <w:ilvl w:val="0"/>
                <w:numId w:val="0"/>
              </w:numPr>
              <w:adjustRightInd w:val="0"/>
              <w:snapToGrid w:val="0"/>
              <w:spacing w:line="360" w:lineRule="auto"/>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56684F62">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rPr>
            </w:pPr>
            <w:r>
              <w:rPr>
                <w:rFonts w:hint="eastAsia" w:ascii="Arial" w:hAnsi="Arial" w:eastAsia="宋体" w:cs="Arial"/>
                <w:b/>
                <w:bCs/>
                <w:color w:val="auto"/>
                <w:kern w:val="0"/>
                <w:sz w:val="21"/>
                <w:szCs w:val="21"/>
                <w:lang w:val="en-US" w:eastAsia="zh-CN"/>
              </w:rPr>
              <w:t>5.</w:t>
            </w:r>
            <w:r>
              <w:rPr>
                <w:rFonts w:hint="eastAsia" w:ascii="Arial" w:hAnsi="Arial" w:eastAsia="宋体" w:cs="Arial"/>
                <w:b/>
                <w:bCs/>
                <w:color w:val="auto"/>
                <w:kern w:val="0"/>
                <w:sz w:val="21"/>
                <w:szCs w:val="21"/>
              </w:rPr>
              <w:t>履约保证金</w:t>
            </w:r>
          </w:p>
          <w:p w14:paraId="1BE1A750">
            <w:pPr>
              <w:widowControl/>
              <w:numPr>
                <w:ilvl w:val="0"/>
                <w:numId w:val="0"/>
              </w:numPr>
              <w:adjustRightInd w:val="0"/>
              <w:snapToGrid w:val="0"/>
              <w:spacing w:line="360" w:lineRule="auto"/>
              <w:jc w:val="left"/>
              <w:rPr>
                <w:rFonts w:ascii="Arial" w:hAnsi="Arial" w:eastAsia="宋体" w:cs="Arial"/>
                <w:color w:val="auto"/>
                <w:kern w:val="0"/>
                <w:sz w:val="21"/>
                <w:szCs w:val="21"/>
              </w:rPr>
            </w:pPr>
            <w:r>
              <w:rPr>
                <w:rFonts w:hint="eastAsia" w:ascii="Arial" w:hAnsi="Arial" w:eastAsia="宋体" w:cs="Arial"/>
                <w:color w:val="auto"/>
                <w:kern w:val="0"/>
                <w:sz w:val="21"/>
                <w:szCs w:val="21"/>
              </w:rPr>
              <w:t>合同签订前2日内，以银行转账、支票、汇票、本票或者银行、保险机构出具的保函、保险等非现金方式提交履约保证金。履约保证金金额按本项目合同金额的5%收取，履约保证金不足额缴纳的，或银行、保险机构出具的保函、保险额度不足的或者保函、保险有效期低于合同履行期限（即签订采购合同之日起至履行完合同约定的权利及义务之日止）的，不予签订合同。如报价人未能按合同约定履行合同，采购人有权没收全部履约保证金，并按合同相关条款追究其责任。采购人在验收合格交付使用之日起30日内退还履约保证金（不计息）。</w:t>
            </w:r>
          </w:p>
          <w:p w14:paraId="132AF815">
            <w:pPr>
              <w:widowControl/>
              <w:spacing w:line="360" w:lineRule="auto"/>
              <w:rPr>
                <w:rFonts w:ascii="Arial" w:hAnsi="Arial" w:eastAsia="宋体" w:cs="Arial"/>
                <w:b w:val="0"/>
                <w:bCs/>
                <w:color w:val="auto"/>
                <w:kern w:val="0"/>
                <w:sz w:val="21"/>
                <w:szCs w:val="21"/>
              </w:rPr>
            </w:pPr>
            <w:r>
              <w:rPr>
                <w:rFonts w:hint="eastAsia" w:ascii="Arial" w:hAnsi="Arial" w:eastAsia="宋体" w:cs="Arial"/>
                <w:b w:val="0"/>
                <w:bCs/>
                <w:color w:val="auto"/>
                <w:kern w:val="0"/>
                <w:sz w:val="21"/>
                <w:szCs w:val="21"/>
              </w:rPr>
              <w:t>履约保证金账户：</w:t>
            </w:r>
          </w:p>
          <w:p w14:paraId="408F29C6">
            <w:pPr>
              <w:pStyle w:val="8"/>
              <w:spacing w:line="360" w:lineRule="auto"/>
              <w:rPr>
                <w:rFonts w:ascii="Arial" w:hAnsi="Arial" w:eastAsia="宋体" w:cs="Arial"/>
                <w:b w:val="0"/>
                <w:bCs/>
                <w:color w:val="auto"/>
                <w:kern w:val="0"/>
                <w:sz w:val="21"/>
                <w:szCs w:val="21"/>
              </w:rPr>
            </w:pPr>
            <w:r>
              <w:rPr>
                <w:rFonts w:hint="eastAsia" w:ascii="Arial" w:hAnsi="Arial" w:eastAsia="宋体" w:cs="Arial"/>
                <w:b w:val="0"/>
                <w:bCs/>
                <w:color w:val="auto"/>
                <w:kern w:val="0"/>
                <w:sz w:val="21"/>
                <w:szCs w:val="21"/>
              </w:rPr>
              <w:t>名  称：柳州职业技术大学</w:t>
            </w:r>
          </w:p>
          <w:p w14:paraId="0CFE26CA">
            <w:pPr>
              <w:pStyle w:val="8"/>
              <w:spacing w:line="360" w:lineRule="auto"/>
              <w:rPr>
                <w:rFonts w:ascii="Arial" w:hAnsi="Arial" w:eastAsia="宋体" w:cs="Arial"/>
                <w:b w:val="0"/>
                <w:bCs/>
                <w:color w:val="auto"/>
                <w:kern w:val="0"/>
                <w:sz w:val="21"/>
                <w:szCs w:val="21"/>
              </w:rPr>
            </w:pPr>
            <w:r>
              <w:rPr>
                <w:rFonts w:hint="eastAsia" w:ascii="Arial" w:hAnsi="Arial" w:eastAsia="宋体" w:cs="Arial"/>
                <w:b w:val="0"/>
                <w:bCs/>
                <w:color w:val="auto"/>
                <w:kern w:val="0"/>
                <w:sz w:val="21"/>
                <w:szCs w:val="21"/>
              </w:rPr>
              <w:t>开户行：交通银行西江支行</w:t>
            </w:r>
          </w:p>
          <w:p w14:paraId="567A8778">
            <w:pPr>
              <w:pStyle w:val="8"/>
              <w:spacing w:line="360" w:lineRule="auto"/>
              <w:rPr>
                <w:rFonts w:ascii="Arial" w:hAnsi="Arial" w:eastAsia="宋体" w:cs="Arial"/>
                <w:b w:val="0"/>
                <w:bCs/>
                <w:color w:val="auto"/>
                <w:kern w:val="0"/>
                <w:sz w:val="21"/>
                <w:szCs w:val="21"/>
              </w:rPr>
            </w:pPr>
            <w:r>
              <w:rPr>
                <w:rFonts w:hint="eastAsia" w:ascii="Arial" w:hAnsi="Arial" w:eastAsia="宋体" w:cs="Arial"/>
                <w:b w:val="0"/>
                <w:bCs/>
                <w:color w:val="auto"/>
                <w:kern w:val="0"/>
                <w:sz w:val="21"/>
                <w:szCs w:val="21"/>
              </w:rPr>
              <w:t>账  号：</w:t>
            </w:r>
            <w:r>
              <w:rPr>
                <w:rFonts w:ascii="Arial" w:hAnsi="Arial" w:eastAsia="宋体" w:cs="Arial"/>
                <w:b w:val="0"/>
                <w:bCs/>
                <w:color w:val="auto"/>
                <w:kern w:val="0"/>
                <w:sz w:val="21"/>
                <w:szCs w:val="21"/>
              </w:rPr>
              <w:t>452060600018120020185</w:t>
            </w:r>
          </w:p>
          <w:p w14:paraId="3CBF74F1">
            <w:pPr>
              <w:pStyle w:val="8"/>
              <w:spacing w:line="360" w:lineRule="auto"/>
              <w:rPr>
                <w:rFonts w:hint="eastAsia" w:cs="Times New Roman"/>
                <w:color w:val="auto"/>
                <w:sz w:val="21"/>
                <w:szCs w:val="21"/>
              </w:rPr>
            </w:pPr>
            <w:r>
              <w:rPr>
                <w:rFonts w:hint="eastAsia" w:ascii="Arial" w:hAnsi="Arial" w:eastAsia="宋体" w:cs="Arial"/>
                <w:b w:val="0"/>
                <w:bCs/>
                <w:color w:val="auto"/>
                <w:kern w:val="0"/>
                <w:sz w:val="21"/>
                <w:szCs w:val="21"/>
              </w:rPr>
              <w:t>转账时注明：产教融合信息服务平台建设采购项目，采购编号</w:t>
            </w:r>
            <w:r>
              <w:rPr>
                <w:rFonts w:hint="eastAsia" w:ascii="Arial" w:hAnsi="Arial" w:eastAsia="宋体" w:cs="Arial"/>
                <w:b/>
                <w:bCs w:val="0"/>
                <w:color w:val="auto"/>
                <w:kern w:val="0"/>
                <w:sz w:val="21"/>
                <w:szCs w:val="21"/>
                <w:lang w:val="en-US" w:eastAsia="zh-CN"/>
              </w:rPr>
              <w:t>LZPU2026-33</w:t>
            </w:r>
            <w:r>
              <w:rPr>
                <w:rFonts w:hint="eastAsia" w:ascii="Arial" w:hAnsi="Arial" w:eastAsia="宋体" w:cs="Arial"/>
                <w:b w:val="0"/>
                <w:bCs/>
                <w:color w:val="auto"/>
                <w:kern w:val="0"/>
                <w:sz w:val="21"/>
                <w:szCs w:val="21"/>
              </w:rPr>
              <w:t xml:space="preserve"> 履约保证金</w:t>
            </w:r>
            <w:r>
              <w:rPr>
                <w:rFonts w:hint="eastAsia" w:ascii="Arial" w:hAnsi="Arial" w:eastAsia="宋体" w:cs="Arial"/>
                <w:color w:val="auto"/>
                <w:kern w:val="0"/>
                <w:sz w:val="21"/>
                <w:szCs w:val="21"/>
              </w:rPr>
              <w:t>电汇、转账的持银行回执复印件（非电汇、转账的出具其他保证金递交证明文件）、中标（成交）通知书（确认书）及合同到柳州职业技术大学签署合同。</w:t>
            </w:r>
          </w:p>
          <w:p w14:paraId="1B6825B9">
            <w:pPr>
              <w:pStyle w:val="8"/>
              <w:rPr>
                <w:rFonts w:hint="eastAsia" w:cs="Times New Roman"/>
                <w:b/>
                <w:bCs/>
                <w:color w:val="auto"/>
                <w:sz w:val="21"/>
                <w:szCs w:val="21"/>
                <w:lang w:val="en-US" w:eastAsia="zh-CN"/>
              </w:rPr>
            </w:pPr>
            <w:r>
              <w:rPr>
                <w:rFonts w:hint="eastAsia" w:cs="Times New Roman"/>
                <w:b/>
                <w:bCs/>
                <w:color w:val="auto"/>
                <w:sz w:val="21"/>
                <w:szCs w:val="21"/>
                <w:lang w:val="en-US" w:eastAsia="zh-CN"/>
              </w:rPr>
              <w:t>6.验收要求</w:t>
            </w:r>
          </w:p>
          <w:p w14:paraId="5CB4ACEA">
            <w:pPr>
              <w:pStyle w:val="8"/>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7A91FB9C">
            <w:pPr>
              <w:pStyle w:val="8"/>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BC60A87">
            <w:pPr>
              <w:pStyle w:val="8"/>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40831A56">
            <w:pPr>
              <w:pStyle w:val="8"/>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6D6EF5FE">
            <w:pPr>
              <w:pStyle w:val="8"/>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6FECFF96">
            <w:pPr>
              <w:pStyle w:val="8"/>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14236056">
            <w:pPr>
              <w:snapToGrid w:val="0"/>
              <w:spacing w:line="276" w:lineRule="auto"/>
              <w:rPr>
                <w:rFonts w:hint="eastAsia" w:cs="Times New Roman"/>
                <w:color w:val="auto"/>
                <w:sz w:val="21"/>
                <w:szCs w:val="21"/>
                <w:lang w:val="en-US" w:eastAsia="zh-CN"/>
              </w:rPr>
            </w:pPr>
            <w:r>
              <w:rPr>
                <w:rFonts w:hint="eastAsia" w:cs="Times New Roman"/>
                <w:color w:val="auto"/>
                <w:sz w:val="21"/>
                <w:szCs w:val="21"/>
                <w:lang w:val="en-US" w:eastAsia="zh-CN"/>
              </w:rPr>
              <w:t>（7）中标</w:t>
            </w:r>
            <w:r>
              <w:rPr>
                <w:rFonts w:hint="eastAsia" w:ascii="宋体" w:hAnsi="宋体"/>
                <w:kern w:val="0"/>
                <w:szCs w:val="22"/>
                <w:lang w:val="en-US" w:eastAsia="zh-CN"/>
              </w:rPr>
              <w:t>报价人</w:t>
            </w:r>
            <w:r>
              <w:rPr>
                <w:rFonts w:ascii="宋体" w:hAnsi="宋体"/>
                <w:kern w:val="0"/>
                <w:szCs w:val="22"/>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color w:val="auto"/>
                <w:sz w:val="21"/>
                <w:szCs w:val="21"/>
                <w:lang w:val="en-US" w:eastAsia="zh-CN"/>
              </w:rPr>
              <w:t>中标</w:t>
            </w:r>
            <w:r>
              <w:rPr>
                <w:rFonts w:hint="eastAsia" w:ascii="宋体" w:hAnsi="宋体"/>
                <w:kern w:val="0"/>
                <w:szCs w:val="22"/>
                <w:lang w:val="en-US" w:eastAsia="zh-CN"/>
              </w:rPr>
              <w:t>报价人</w:t>
            </w:r>
            <w:r>
              <w:rPr>
                <w:rFonts w:ascii="宋体" w:hAnsi="宋体"/>
                <w:kern w:val="0"/>
                <w:szCs w:val="22"/>
              </w:rPr>
              <w:t>应在接到采购人书面反馈后三日内解决，在解决问题前此项目仍视为尚未完成安装调试。如造成最终验收合格交付时间超过合同约定的按合同相关条款执行。</w:t>
            </w:r>
          </w:p>
          <w:p w14:paraId="74BDA0D8">
            <w:pPr>
              <w:pStyle w:val="8"/>
              <w:rPr>
                <w:rFonts w:hint="default" w:cs="Times New Roman" w:eastAsiaTheme="minorEastAsia"/>
                <w:sz w:val="24"/>
                <w:szCs w:val="24"/>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006364C9">
      <w:pPr>
        <w:widowControl/>
        <w:adjustRightInd w:val="0"/>
        <w:snapToGrid w:val="0"/>
        <w:spacing w:line="520" w:lineRule="exact"/>
        <w:jc w:val="left"/>
        <w:rPr>
          <w:rFonts w:ascii="Arial" w:hAnsi="Arial" w:eastAsia="宋体" w:cs="Arial"/>
          <w:color w:val="000000"/>
          <w:kern w:val="0"/>
          <w:sz w:val="24"/>
          <w:szCs w:val="28"/>
        </w:rPr>
      </w:pPr>
      <w:r>
        <w:rPr>
          <w:rFonts w:ascii="Arial" w:hAnsi="Arial" w:eastAsia="宋体" w:cs="Arial"/>
          <w:color w:val="000000"/>
          <w:kern w:val="0"/>
          <w:sz w:val="24"/>
          <w:szCs w:val="28"/>
        </w:rPr>
        <w:t>四、报价人须知：（以下要求报价供应商必须满足否则视为无效）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8"/>
        <w:numPr>
          <w:ilvl w:val="0"/>
          <w:numId w:val="23"/>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b/>
          <w:bCs/>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w:t>
      </w:r>
      <w:r>
        <w:rPr>
          <w:rFonts w:hint="eastAsia" w:asciiTheme="majorEastAsia" w:hAnsiTheme="majorEastAsia" w:eastAsiaTheme="majorEastAsia" w:cstheme="majorEastAsia"/>
          <w:b/>
          <w:bCs/>
          <w:kern w:val="0"/>
          <w:sz w:val="24"/>
          <w:szCs w:val="28"/>
        </w:rPr>
        <w:t>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文件份数：</w:t>
      </w:r>
      <w:r>
        <w:rPr>
          <w:rFonts w:hint="eastAsia" w:asciiTheme="majorEastAsia" w:hAnsiTheme="majorEastAsia" w:eastAsiaTheme="majorEastAsia" w:cstheme="majorEastAsia"/>
          <w:kern w:val="0"/>
          <w:sz w:val="24"/>
          <w:szCs w:val="24"/>
        </w:rPr>
        <w:t>报价文件一式三份</w:t>
      </w:r>
      <w:r>
        <w:rPr>
          <w:rFonts w:hint="eastAsia" w:asciiTheme="majorEastAsia" w:hAnsiTheme="majorEastAsia" w:eastAsiaTheme="majorEastAsia" w:cstheme="majorEastAsia"/>
          <w:kern w:val="0"/>
          <w:sz w:val="24"/>
          <w:szCs w:val="24"/>
          <w:lang w:eastAsia="zh-CN"/>
        </w:rPr>
        <w:t>，</w:t>
      </w:r>
      <w:r>
        <w:rPr>
          <w:rFonts w:hint="eastAsia" w:asciiTheme="majorEastAsia" w:hAnsiTheme="majorEastAsia" w:eastAsiaTheme="majorEastAsia" w:cstheme="majorEastAsia"/>
          <w:b/>
          <w:bCs/>
          <w:color w:val="auto"/>
          <w:sz w:val="24"/>
          <w:szCs w:val="24"/>
          <w:highlight w:val="none"/>
        </w:rPr>
        <w:t>正本一份、副本二份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8"/>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8</w:t>
      </w:r>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采购人将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0"/>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kern w:val="2"/>
          <w:sz w:val="24"/>
          <w:szCs w:val="24"/>
          <w:lang w:val="en-US" w:eastAsia="zh-CN" w:bidi="ar-SA"/>
        </w:rPr>
        <w:t>7.</w:t>
      </w: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b w:val="0"/>
          <w:bCs w:val="0"/>
          <w:color w:val="auto"/>
          <w:kern w:val="0"/>
          <w:sz w:val="24"/>
          <w:szCs w:val="28"/>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color w:val="auto"/>
          <w:sz w:val="24"/>
          <w:szCs w:val="24"/>
          <w:highlight w:val="none"/>
        </w:rPr>
        <w:t>技术及需求咨询联系人：</w:t>
      </w:r>
      <w:r>
        <w:rPr>
          <w:rFonts w:hint="eastAsia" w:asciiTheme="majorEastAsia" w:hAnsiTheme="majorEastAsia" w:eastAsiaTheme="majorEastAsia" w:cstheme="majorEastAsia"/>
          <w:color w:val="auto"/>
          <w:sz w:val="24"/>
          <w:szCs w:val="24"/>
          <w:highlight w:val="none"/>
          <w:lang w:val="en-US" w:eastAsia="zh-CN"/>
        </w:rPr>
        <w:t xml:space="preserve">韦老师 </w:t>
      </w:r>
      <w:r>
        <w:rPr>
          <w:rFonts w:hint="eastAsia" w:asciiTheme="majorEastAsia" w:hAnsiTheme="majorEastAsia" w:eastAsiaTheme="majorEastAsia" w:cstheme="majorEastAsia"/>
          <w:color w:val="auto"/>
          <w:sz w:val="24"/>
          <w:szCs w:val="24"/>
          <w:highlight w:val="none"/>
        </w:rPr>
        <w:t xml:space="preserve">     联系电话：</w:t>
      </w:r>
      <w:r>
        <w:rPr>
          <w:rFonts w:hint="eastAsia" w:asciiTheme="majorEastAsia" w:hAnsiTheme="majorEastAsia" w:eastAsiaTheme="majorEastAsia" w:cstheme="majorEastAsia"/>
          <w:color w:val="auto"/>
          <w:sz w:val="24"/>
          <w:szCs w:val="24"/>
          <w:highlight w:val="none"/>
          <w:lang w:val="en-US" w:eastAsia="zh-CN"/>
        </w:rPr>
        <w:t xml:space="preserve"> 137</w:t>
      </w:r>
      <w:r>
        <w:rPr>
          <w:rFonts w:hint="eastAsia" w:asciiTheme="majorEastAsia" w:hAnsiTheme="majorEastAsia" w:eastAsiaTheme="majorEastAsia" w:cstheme="majorEastAsia"/>
          <w:bCs/>
          <w:kern w:val="0"/>
          <w:sz w:val="24"/>
          <w:szCs w:val="28"/>
          <w:lang w:val="en-US" w:eastAsia="zh-CN" w:bidi="en-US"/>
        </w:rPr>
        <w:t>88524854</w:t>
      </w:r>
      <w:r>
        <w:rPr>
          <w:rFonts w:hint="eastAsia" w:asciiTheme="majorEastAsia" w:hAnsiTheme="majorEastAsia" w:eastAsiaTheme="majorEastAsia" w:cstheme="majorEastAsia"/>
          <w:b w:val="0"/>
          <w:bCs w:val="0"/>
          <w:color w:val="auto"/>
          <w:kern w:val="0"/>
          <w:sz w:val="24"/>
          <w:szCs w:val="28"/>
        </w:rPr>
        <w:t>。</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5AA1FECF">
      <w:pPr>
        <w:widowControl/>
        <w:jc w:val="left"/>
        <w:rPr>
          <w:rFonts w:ascii="Arial" w:hAnsi="Arial" w:cs="Arial"/>
          <w:sz w:val="24"/>
          <w:szCs w:val="24"/>
        </w:rPr>
      </w:pPr>
    </w:p>
    <w:p w14:paraId="4C01A3FF">
      <w:pPr>
        <w:widowControl/>
        <w:ind w:firstLine="8760" w:firstLineChars="3650"/>
        <w:jc w:val="left"/>
        <w:rPr>
          <w:rFonts w:ascii="Arial" w:hAnsi="Arial" w:cs="Arial"/>
          <w:b w:val="0"/>
          <w:bCs/>
          <w:sz w:val="24"/>
          <w:szCs w:val="24"/>
        </w:rPr>
      </w:pPr>
      <w:r>
        <w:rPr>
          <w:rFonts w:ascii="Arial" w:hAnsi="Arial" w:cs="Arial"/>
          <w:b w:val="0"/>
          <w:bCs/>
          <w:sz w:val="24"/>
          <w:szCs w:val="24"/>
        </w:rPr>
        <w:t>柳州职业技术</w:t>
      </w:r>
      <w:r>
        <w:rPr>
          <w:rFonts w:hint="eastAsia" w:ascii="Arial" w:hAnsi="Arial" w:eastAsia="宋体" w:cs="Arial"/>
          <w:b w:val="0"/>
          <w:bCs/>
          <w:kern w:val="0"/>
          <w:sz w:val="24"/>
          <w:szCs w:val="28"/>
        </w:rPr>
        <w:t>大学</w:t>
      </w:r>
    </w:p>
    <w:p w14:paraId="702A5BB5">
      <w:pPr>
        <w:widowControl/>
        <w:jc w:val="left"/>
        <w:rPr>
          <w:rFonts w:ascii="Arial" w:hAnsi="Arial" w:cs="Arial"/>
          <w:b w:val="0"/>
          <w:bCs/>
          <w:sz w:val="24"/>
          <w:szCs w:val="24"/>
        </w:rPr>
      </w:pPr>
      <w:r>
        <w:rPr>
          <w:rFonts w:ascii="Arial" w:hAnsi="Arial" w:cs="Arial"/>
          <w:b w:val="0"/>
          <w:bCs/>
          <w:sz w:val="24"/>
          <w:szCs w:val="24"/>
        </w:rPr>
        <w:t xml:space="preserve">                                                           </w:t>
      </w:r>
      <w:r>
        <w:rPr>
          <w:rFonts w:hint="eastAsia" w:ascii="Arial" w:hAnsi="Arial" w:cs="Arial"/>
          <w:b w:val="0"/>
          <w:bCs/>
          <w:sz w:val="24"/>
          <w:szCs w:val="24"/>
        </w:rPr>
        <w:t xml:space="preserve">             </w:t>
      </w:r>
      <w:r>
        <w:rPr>
          <w:rFonts w:ascii="Arial" w:hAnsi="Arial" w:cs="Arial"/>
          <w:b w:val="0"/>
          <w:bCs/>
          <w:sz w:val="24"/>
          <w:szCs w:val="24"/>
        </w:rPr>
        <w:t xml:space="preserve"> </w:t>
      </w:r>
      <w:r>
        <w:rPr>
          <w:rFonts w:hint="eastAsia" w:ascii="Arial" w:hAnsi="Arial" w:cs="Arial"/>
          <w:b w:val="0"/>
          <w:bCs/>
          <w:sz w:val="24"/>
          <w:szCs w:val="24"/>
        </w:rPr>
        <w:t>202</w:t>
      </w:r>
      <w:r>
        <w:rPr>
          <w:rFonts w:hint="eastAsia" w:ascii="Arial" w:hAnsi="Arial" w:cs="Arial"/>
          <w:b w:val="0"/>
          <w:bCs/>
          <w:sz w:val="24"/>
          <w:szCs w:val="24"/>
          <w:lang w:val="en-US" w:eastAsia="zh-CN"/>
        </w:rPr>
        <w:t>6</w:t>
      </w:r>
      <w:r>
        <w:rPr>
          <w:rFonts w:ascii="Arial" w:hAnsi="Arial" w:cs="Arial"/>
          <w:b w:val="0"/>
          <w:bCs/>
          <w:sz w:val="24"/>
          <w:szCs w:val="24"/>
        </w:rPr>
        <w:t>年</w:t>
      </w:r>
      <w:r>
        <w:rPr>
          <w:rFonts w:hint="eastAsia" w:ascii="Arial" w:hAnsi="Arial" w:cs="Arial"/>
          <w:b w:val="0"/>
          <w:bCs/>
          <w:sz w:val="24"/>
          <w:szCs w:val="24"/>
          <w:lang w:val="en-US" w:eastAsia="zh-CN"/>
        </w:rPr>
        <w:t>9</w:t>
      </w:r>
      <w:r>
        <w:rPr>
          <w:rFonts w:ascii="Arial" w:hAnsi="Arial" w:cs="Arial"/>
          <w:b w:val="0"/>
          <w:bCs/>
          <w:sz w:val="24"/>
          <w:szCs w:val="24"/>
        </w:rPr>
        <w:t>月</w:t>
      </w:r>
      <w:r>
        <w:rPr>
          <w:rFonts w:hint="eastAsia" w:ascii="Arial" w:hAnsi="Arial" w:cs="Arial"/>
          <w:b w:val="0"/>
          <w:bCs/>
          <w:sz w:val="24"/>
          <w:szCs w:val="24"/>
          <w:lang w:val="en-US" w:eastAsia="zh-CN"/>
        </w:rPr>
        <w:t>24</w:t>
      </w:r>
      <w:r>
        <w:rPr>
          <w:rFonts w:ascii="Arial" w:hAnsi="Arial" w:cs="Arial"/>
          <w:b w:val="0"/>
          <w:bCs/>
          <w:sz w:val="24"/>
          <w:szCs w:val="24"/>
        </w:rPr>
        <w:t>日</w:t>
      </w:r>
    </w:p>
    <w:p w14:paraId="1359F208">
      <w:pPr>
        <w:pStyle w:val="9"/>
        <w:snapToGrid w:val="0"/>
        <w:spacing w:before="295" w:after="295" w:line="400" w:lineRule="exact"/>
        <w:rPr>
          <w:rFonts w:ascii="Arial" w:hAnsi="Arial" w:cs="Arial"/>
          <w:bCs/>
          <w:sz w:val="24"/>
          <w:szCs w:val="24"/>
        </w:rPr>
      </w:pPr>
    </w:p>
    <w:p w14:paraId="4591B3EC">
      <w:pPr>
        <w:pStyle w:val="10"/>
        <w:ind w:left="5250"/>
      </w:pPr>
    </w:p>
    <w:p w14:paraId="25FFD69B">
      <w:pPr>
        <w:pStyle w:val="8"/>
      </w:pPr>
    </w:p>
    <w:p w14:paraId="324BC0C6">
      <w:pPr>
        <w:pStyle w:val="8"/>
      </w:pPr>
    </w:p>
    <w:p w14:paraId="14765424">
      <w:pPr>
        <w:pStyle w:val="8"/>
      </w:pPr>
    </w:p>
    <w:p w14:paraId="48EA8E3E">
      <w:pPr>
        <w:pStyle w:val="8"/>
      </w:pPr>
    </w:p>
    <w:p w14:paraId="0A046439">
      <w:pPr>
        <w:pStyle w:val="8"/>
      </w:pPr>
    </w:p>
    <w:p w14:paraId="72CD6916">
      <w:pPr>
        <w:pStyle w:val="8"/>
      </w:pPr>
    </w:p>
    <w:p w14:paraId="1921EE0B">
      <w:pPr>
        <w:pStyle w:val="8"/>
      </w:pPr>
    </w:p>
    <w:p w14:paraId="55EB49E2">
      <w:pPr>
        <w:pStyle w:val="8"/>
      </w:pPr>
    </w:p>
    <w:p w14:paraId="314FCF74">
      <w:pPr>
        <w:pStyle w:val="8"/>
      </w:pPr>
    </w:p>
    <w:p w14:paraId="571387C1">
      <w:pPr>
        <w:pStyle w:val="8"/>
      </w:pPr>
    </w:p>
    <w:p w14:paraId="4BA3E85B">
      <w:pPr>
        <w:pStyle w:val="8"/>
      </w:pPr>
    </w:p>
    <w:p w14:paraId="1377878A">
      <w:pPr>
        <w:pStyle w:val="8"/>
      </w:pPr>
    </w:p>
    <w:p w14:paraId="2507A17E">
      <w:pPr>
        <w:pStyle w:val="8"/>
      </w:pPr>
    </w:p>
    <w:p w14:paraId="2F12B268">
      <w:pPr>
        <w:pStyle w:val="8"/>
      </w:pPr>
    </w:p>
    <w:p w14:paraId="662E183E">
      <w:pPr>
        <w:pStyle w:val="8"/>
      </w:pPr>
    </w:p>
    <w:p w14:paraId="2A073E58">
      <w:pPr>
        <w:pStyle w:val="8"/>
      </w:pPr>
    </w:p>
    <w:p w14:paraId="7B65CD71">
      <w:pPr>
        <w:pStyle w:val="8"/>
      </w:pPr>
    </w:p>
    <w:p w14:paraId="76F6AF51">
      <w:pPr>
        <w:pStyle w:val="8"/>
      </w:pPr>
    </w:p>
    <w:p w14:paraId="2FD45702">
      <w:pPr>
        <w:pStyle w:val="8"/>
      </w:pPr>
    </w:p>
    <w:p w14:paraId="742E4DC1">
      <w:pPr>
        <w:pStyle w:val="8"/>
      </w:pPr>
    </w:p>
    <w:p w14:paraId="53A922CD">
      <w:pPr>
        <w:spacing w:line="360" w:lineRule="auto"/>
        <w:rPr>
          <w:rFonts w:asciiTheme="minorEastAsia" w:hAnsiTheme="minorEastAsia" w:cstheme="minorEastAsia"/>
          <w:sz w:val="22"/>
        </w:rPr>
      </w:pPr>
      <w:r>
        <w:rPr>
          <w:rFonts w:hint="eastAsia" w:asciiTheme="minorEastAsia" w:hAnsiTheme="minorEastAsia" w:cstheme="minorEastAsia"/>
          <w:b/>
          <w:sz w:val="28"/>
        </w:rPr>
        <w:t>评审办法和评分标准</w:t>
      </w:r>
    </w:p>
    <w:p w14:paraId="0F593544">
      <w:pPr>
        <w:pStyle w:val="8"/>
        <w:spacing w:line="360" w:lineRule="auto"/>
        <w:rPr>
          <w:rFonts w:asciiTheme="minorEastAsia" w:hAnsiTheme="minorEastAsia" w:cstheme="minorEastAsia"/>
        </w:rPr>
      </w:pPr>
      <w:r>
        <w:rPr>
          <w:rFonts w:hint="eastAsia" w:asciiTheme="minorEastAsia" w:hAnsiTheme="minorEastAsia" w:cstheme="minorEastAsia"/>
        </w:rPr>
        <w:t>一、评审原则</w:t>
      </w:r>
    </w:p>
    <w:p w14:paraId="38212FE2">
      <w:pPr>
        <w:pStyle w:val="8"/>
        <w:spacing w:line="360" w:lineRule="auto"/>
        <w:rPr>
          <w:rFonts w:asciiTheme="minorEastAsia" w:hAnsiTheme="minorEastAsia" w:cstheme="minorEastAsia"/>
        </w:rPr>
      </w:pPr>
      <w:r>
        <w:rPr>
          <w:rFonts w:hint="eastAsia" w:asciiTheme="minorEastAsia" w:hAnsiTheme="minorEastAsia" w:cstheme="minorEastAsia"/>
        </w:rPr>
        <w:t>（一）评委构成：本项目的评委分别由依法组成的评审专家3人或以上单数构成。</w:t>
      </w:r>
    </w:p>
    <w:p w14:paraId="3B94A3CF">
      <w:pPr>
        <w:pStyle w:val="8"/>
        <w:spacing w:line="360" w:lineRule="auto"/>
        <w:rPr>
          <w:rFonts w:asciiTheme="minorEastAsia" w:hAnsiTheme="minorEastAsia" w:cstheme="minorEastAsia"/>
        </w:rPr>
      </w:pPr>
      <w:r>
        <w:rPr>
          <w:rFonts w:hint="eastAsia" w:asciiTheme="minorEastAsia" w:hAnsiTheme="minorEastAsia" w:cstheme="minorEastAsia"/>
        </w:rPr>
        <w:t>（二）评审依据：评委将以询价采购公告为评审依据，对报价人的价格、</w:t>
      </w:r>
      <w:r>
        <w:rPr>
          <w:rFonts w:hint="eastAsia" w:asciiTheme="minorEastAsia" w:hAnsiTheme="minorEastAsia" w:cstheme="minorEastAsia"/>
          <w:lang w:val="en-US" w:eastAsia="zh-CN"/>
        </w:rPr>
        <w:t>技术</w:t>
      </w:r>
      <w:r>
        <w:rPr>
          <w:rFonts w:hint="eastAsia" w:asciiTheme="minorEastAsia" w:hAnsiTheme="minorEastAsia" w:cstheme="minorEastAsia"/>
        </w:rPr>
        <w:t>、商务</w:t>
      </w:r>
      <w:r>
        <w:rPr>
          <w:rFonts w:hint="eastAsia" w:asciiTheme="minorEastAsia" w:hAnsiTheme="minorEastAsia" w:cstheme="minorEastAsia"/>
          <w:lang w:val="en-US" w:eastAsia="zh-CN"/>
        </w:rPr>
        <w:t>3</w:t>
      </w:r>
      <w:r>
        <w:rPr>
          <w:rFonts w:hint="eastAsia" w:asciiTheme="minorEastAsia" w:hAnsiTheme="minorEastAsia" w:cstheme="minorEastAsia"/>
        </w:rPr>
        <w:t>个方面内容按百分制打分。</w:t>
      </w:r>
    </w:p>
    <w:p w14:paraId="3C771647">
      <w:pPr>
        <w:pStyle w:val="8"/>
        <w:spacing w:line="360" w:lineRule="auto"/>
        <w:rPr>
          <w:rFonts w:asciiTheme="minorEastAsia" w:hAnsiTheme="minorEastAsia" w:cstheme="minorEastAsia"/>
        </w:rPr>
      </w:pPr>
      <w:r>
        <w:rPr>
          <w:rFonts w:hint="eastAsia" w:asciiTheme="minorEastAsia" w:hAnsiTheme="minorEastAsia" w:cstheme="minorEastAsia"/>
        </w:rPr>
        <w:t>二、评定方法</w:t>
      </w:r>
    </w:p>
    <w:p w14:paraId="422EF376">
      <w:pPr>
        <w:pStyle w:val="8"/>
        <w:spacing w:line="360" w:lineRule="auto"/>
        <w:rPr>
          <w:rFonts w:asciiTheme="minorEastAsia" w:hAnsiTheme="minorEastAsia" w:cstheme="minorEastAsia"/>
        </w:rPr>
      </w:pPr>
      <w:r>
        <w:rPr>
          <w:rFonts w:hint="eastAsia" w:asciiTheme="minorEastAsia" w:hAnsiTheme="minorEastAsia" w:cstheme="minorEastAsia"/>
        </w:rPr>
        <w:t>（一）对进入详评的，采用百分制综合评分法。</w:t>
      </w:r>
    </w:p>
    <w:p w14:paraId="0CCFE2AA">
      <w:pPr>
        <w:pStyle w:val="8"/>
        <w:spacing w:line="360" w:lineRule="auto"/>
        <w:rPr>
          <w:rFonts w:hint="eastAsia" w:asciiTheme="minorEastAsia" w:hAnsiTheme="minorEastAsia" w:cstheme="minorEastAsia"/>
        </w:rPr>
      </w:pPr>
      <w:r>
        <w:rPr>
          <w:rFonts w:hint="eastAsia" w:asciiTheme="minorEastAsia" w:hAnsiTheme="minorEastAsia" w:cstheme="minorEastAsia"/>
        </w:rPr>
        <w:t>（二）计分办法(按四舍五入取至百分位)：</w:t>
      </w:r>
    </w:p>
    <w:tbl>
      <w:tblPr>
        <w:tblStyle w:val="18"/>
        <w:tblW w:w="9819" w:type="dxa"/>
        <w:tblInd w:w="4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0"/>
        <w:gridCol w:w="900"/>
        <w:gridCol w:w="960"/>
        <w:gridCol w:w="6986"/>
        <w:gridCol w:w="723"/>
      </w:tblGrid>
      <w:tr w14:paraId="547DF6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2" w:hRule="atLeast"/>
        </w:trPr>
        <w:tc>
          <w:tcPr>
            <w:tcW w:w="1150" w:type="dxa"/>
            <w:gridSpan w:val="2"/>
            <w:tcBorders>
              <w:top w:val="single" w:color="auto" w:sz="4" w:space="0"/>
              <w:left w:val="single" w:color="auto" w:sz="4" w:space="0"/>
              <w:bottom w:val="single" w:color="auto" w:sz="4" w:space="0"/>
              <w:right w:val="single" w:color="auto" w:sz="4" w:space="0"/>
            </w:tcBorders>
          </w:tcPr>
          <w:p w14:paraId="7CEDFFDE">
            <w:pPr>
              <w:spacing w:line="360" w:lineRule="auto"/>
              <w:jc w:val="center"/>
              <w:rPr>
                <w:rFonts w:asciiTheme="minorEastAsia" w:hAnsiTheme="minorEastAsia"/>
                <w:b/>
                <w:bCs/>
                <w:color w:val="auto"/>
                <w:sz w:val="22"/>
                <w:szCs w:val="21"/>
                <w:highlight w:val="none"/>
              </w:rPr>
            </w:pPr>
            <w:r>
              <w:rPr>
                <w:rFonts w:hint="eastAsia" w:asciiTheme="minorEastAsia" w:hAnsiTheme="minorEastAsia"/>
                <w:b/>
                <w:bCs/>
                <w:color w:val="auto"/>
                <w:sz w:val="22"/>
                <w:szCs w:val="21"/>
                <w:highlight w:val="none"/>
              </w:rPr>
              <w:t>序号</w:t>
            </w:r>
          </w:p>
        </w:tc>
        <w:tc>
          <w:tcPr>
            <w:tcW w:w="960" w:type="dxa"/>
            <w:tcBorders>
              <w:top w:val="single" w:color="auto" w:sz="4" w:space="0"/>
              <w:left w:val="single" w:color="auto" w:sz="4" w:space="0"/>
              <w:bottom w:val="single" w:color="auto" w:sz="4" w:space="0"/>
              <w:right w:val="single" w:color="auto" w:sz="4" w:space="0"/>
            </w:tcBorders>
          </w:tcPr>
          <w:p w14:paraId="14912147">
            <w:pPr>
              <w:spacing w:line="360" w:lineRule="auto"/>
              <w:jc w:val="left"/>
              <w:rPr>
                <w:rFonts w:asciiTheme="minorEastAsia" w:hAnsiTheme="minorEastAsia"/>
                <w:b/>
                <w:bCs/>
                <w:color w:val="auto"/>
                <w:sz w:val="22"/>
                <w:szCs w:val="21"/>
                <w:highlight w:val="none"/>
              </w:rPr>
            </w:pPr>
            <w:r>
              <w:rPr>
                <w:rFonts w:hint="eastAsia" w:asciiTheme="minorEastAsia" w:hAnsiTheme="minorEastAsia"/>
                <w:b/>
                <w:bCs/>
                <w:color w:val="auto"/>
                <w:sz w:val="22"/>
                <w:szCs w:val="21"/>
                <w:highlight w:val="none"/>
              </w:rPr>
              <w:t>评分指标项</w:t>
            </w:r>
          </w:p>
        </w:tc>
        <w:tc>
          <w:tcPr>
            <w:tcW w:w="6986" w:type="dxa"/>
            <w:tcBorders>
              <w:top w:val="single" w:color="auto" w:sz="4" w:space="0"/>
              <w:left w:val="single" w:color="auto" w:sz="4" w:space="0"/>
              <w:bottom w:val="single" w:color="auto" w:sz="4" w:space="0"/>
              <w:right w:val="single" w:color="auto" w:sz="4" w:space="0"/>
            </w:tcBorders>
          </w:tcPr>
          <w:p w14:paraId="2085D17B">
            <w:pPr>
              <w:spacing w:line="360" w:lineRule="auto"/>
              <w:ind w:left="0" w:leftChars="0" w:firstLine="0" w:firstLineChars="0"/>
              <w:jc w:val="center"/>
              <w:rPr>
                <w:rFonts w:asciiTheme="minorEastAsia" w:hAnsiTheme="minorEastAsia"/>
                <w:b/>
                <w:bCs/>
                <w:color w:val="auto"/>
                <w:sz w:val="22"/>
                <w:szCs w:val="21"/>
                <w:highlight w:val="none"/>
              </w:rPr>
            </w:pPr>
            <w:r>
              <w:rPr>
                <w:rFonts w:hint="eastAsia" w:asciiTheme="minorEastAsia" w:hAnsiTheme="minorEastAsia"/>
                <w:b/>
                <w:bCs/>
                <w:color w:val="auto"/>
                <w:sz w:val="22"/>
                <w:szCs w:val="21"/>
                <w:highlight w:val="none"/>
              </w:rPr>
              <w:t>评议内容（申购部门根据项目要求设置评分指标内容）</w:t>
            </w:r>
          </w:p>
        </w:tc>
        <w:tc>
          <w:tcPr>
            <w:tcW w:w="723" w:type="dxa"/>
            <w:tcBorders>
              <w:top w:val="single" w:color="auto" w:sz="4" w:space="0"/>
              <w:left w:val="single" w:color="auto" w:sz="4" w:space="0"/>
              <w:bottom w:val="single" w:color="auto" w:sz="4" w:space="0"/>
              <w:right w:val="single" w:color="auto" w:sz="4" w:space="0"/>
            </w:tcBorders>
          </w:tcPr>
          <w:p w14:paraId="3C28E56D">
            <w:pPr>
              <w:spacing w:line="360" w:lineRule="auto"/>
              <w:jc w:val="center"/>
              <w:rPr>
                <w:rFonts w:asciiTheme="minorEastAsia" w:hAnsiTheme="minorEastAsia"/>
                <w:b/>
                <w:bCs/>
                <w:color w:val="auto"/>
                <w:sz w:val="22"/>
                <w:szCs w:val="21"/>
                <w:highlight w:val="none"/>
              </w:rPr>
            </w:pPr>
            <w:r>
              <w:rPr>
                <w:rFonts w:hint="eastAsia" w:asciiTheme="minorEastAsia" w:hAnsiTheme="minorEastAsia"/>
                <w:b/>
                <w:bCs/>
                <w:color w:val="auto"/>
                <w:sz w:val="22"/>
                <w:szCs w:val="21"/>
                <w:highlight w:val="none"/>
              </w:rPr>
              <w:t>分值</w:t>
            </w:r>
          </w:p>
        </w:tc>
      </w:tr>
      <w:tr w14:paraId="2223E8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50" w:hRule="atLeast"/>
        </w:trPr>
        <w:tc>
          <w:tcPr>
            <w:tcW w:w="250" w:type="dxa"/>
            <w:tcBorders>
              <w:top w:val="single" w:color="auto" w:sz="4" w:space="0"/>
              <w:left w:val="single" w:color="auto" w:sz="4" w:space="0"/>
              <w:bottom w:val="single" w:color="auto" w:sz="4" w:space="0"/>
              <w:right w:val="single" w:color="auto" w:sz="4" w:space="0"/>
            </w:tcBorders>
          </w:tcPr>
          <w:p w14:paraId="5F44AF62">
            <w:pPr>
              <w:spacing w:line="360" w:lineRule="auto"/>
              <w:jc w:val="left"/>
              <w:rPr>
                <w:rFonts w:hint="eastAsia" w:ascii="宋体" w:hAnsi="宋体"/>
                <w:color w:val="auto"/>
                <w:spacing w:val="-2"/>
                <w:kern w:val="0"/>
                <w:szCs w:val="21"/>
                <w:highlight w:val="none"/>
              </w:rPr>
            </w:pPr>
            <w:r>
              <w:rPr>
                <w:rFonts w:hint="eastAsia" w:ascii="宋体" w:hAnsi="宋体"/>
                <w:color w:val="auto"/>
                <w:spacing w:val="-2"/>
                <w:kern w:val="0"/>
                <w:szCs w:val="21"/>
                <w:highlight w:val="none"/>
              </w:rPr>
              <w:t>1</w:t>
            </w:r>
          </w:p>
        </w:tc>
        <w:tc>
          <w:tcPr>
            <w:tcW w:w="900" w:type="dxa"/>
            <w:tcBorders>
              <w:top w:val="single" w:color="auto" w:sz="4" w:space="0"/>
              <w:left w:val="single" w:color="auto" w:sz="4" w:space="0"/>
              <w:bottom w:val="single" w:color="auto" w:sz="4" w:space="0"/>
              <w:right w:val="single" w:color="auto" w:sz="4" w:space="0"/>
            </w:tcBorders>
          </w:tcPr>
          <w:p w14:paraId="75CFC4C0">
            <w:pPr>
              <w:spacing w:line="360" w:lineRule="auto"/>
              <w:jc w:val="left"/>
              <w:rPr>
                <w:rFonts w:hint="eastAsia" w:ascii="宋体" w:hAnsi="宋体"/>
                <w:color w:val="auto"/>
                <w:spacing w:val="-2"/>
                <w:kern w:val="0"/>
                <w:szCs w:val="21"/>
                <w:highlight w:val="none"/>
              </w:rPr>
            </w:pPr>
            <w:r>
              <w:rPr>
                <w:rFonts w:hint="eastAsia" w:ascii="宋体" w:hAnsi="宋体"/>
                <w:color w:val="auto"/>
                <w:spacing w:val="-2"/>
                <w:kern w:val="0"/>
                <w:szCs w:val="21"/>
                <w:highlight w:val="none"/>
              </w:rPr>
              <w:t>价格分</w:t>
            </w:r>
          </w:p>
          <w:p w14:paraId="2A369A47">
            <w:pPr>
              <w:spacing w:line="360" w:lineRule="auto"/>
              <w:jc w:val="left"/>
              <w:rPr>
                <w:rFonts w:hint="eastAsia" w:ascii="宋体" w:hAnsi="宋体"/>
                <w:color w:val="auto"/>
                <w:spacing w:val="-2"/>
                <w:kern w:val="0"/>
                <w:szCs w:val="21"/>
                <w:highlight w:val="none"/>
              </w:rPr>
            </w:pPr>
            <w:r>
              <w:rPr>
                <w:rFonts w:hint="eastAsia" w:ascii="宋体" w:hAnsi="宋体"/>
                <w:color w:val="auto"/>
                <w:spacing w:val="-2"/>
                <w:kern w:val="0"/>
                <w:szCs w:val="21"/>
                <w:highlight w:val="none"/>
              </w:rPr>
              <w:t>（满分</w:t>
            </w:r>
            <w:r>
              <w:rPr>
                <w:rFonts w:hint="eastAsia" w:ascii="宋体" w:hAnsi="宋体"/>
                <w:color w:val="auto"/>
                <w:spacing w:val="-2"/>
                <w:kern w:val="0"/>
                <w:szCs w:val="21"/>
                <w:highlight w:val="none"/>
                <w:lang w:val="en-US" w:eastAsia="zh-CN"/>
              </w:rPr>
              <w:t>30</w:t>
            </w:r>
            <w:r>
              <w:rPr>
                <w:rFonts w:hint="eastAsia" w:ascii="宋体" w:hAnsi="宋体"/>
                <w:color w:val="auto"/>
                <w:spacing w:val="-2"/>
                <w:kern w:val="0"/>
                <w:szCs w:val="21"/>
                <w:highlight w:val="none"/>
              </w:rPr>
              <w:t>分）</w:t>
            </w:r>
          </w:p>
        </w:tc>
        <w:tc>
          <w:tcPr>
            <w:tcW w:w="960" w:type="dxa"/>
            <w:tcBorders>
              <w:top w:val="single" w:color="auto" w:sz="4" w:space="0"/>
              <w:left w:val="single" w:color="auto" w:sz="4" w:space="0"/>
              <w:bottom w:val="single" w:color="auto" w:sz="4" w:space="0"/>
              <w:right w:val="single" w:color="auto" w:sz="4" w:space="0"/>
            </w:tcBorders>
          </w:tcPr>
          <w:p w14:paraId="354A78A1">
            <w:pPr>
              <w:spacing w:line="360" w:lineRule="auto"/>
              <w:jc w:val="left"/>
              <w:rPr>
                <w:rFonts w:hint="eastAsia" w:ascii="宋体" w:hAnsi="宋体"/>
                <w:color w:val="auto"/>
                <w:spacing w:val="-2"/>
                <w:kern w:val="0"/>
                <w:szCs w:val="21"/>
                <w:highlight w:val="none"/>
              </w:rPr>
            </w:pPr>
            <w:r>
              <w:rPr>
                <w:rFonts w:hint="eastAsia" w:ascii="宋体" w:hAnsi="宋体"/>
                <w:color w:val="auto"/>
                <w:spacing w:val="-2"/>
                <w:kern w:val="0"/>
                <w:szCs w:val="21"/>
                <w:highlight w:val="none"/>
              </w:rPr>
              <w:t>报价价格</w:t>
            </w:r>
          </w:p>
        </w:tc>
        <w:tc>
          <w:tcPr>
            <w:tcW w:w="6986" w:type="dxa"/>
            <w:tcBorders>
              <w:top w:val="single" w:color="auto" w:sz="4" w:space="0"/>
              <w:left w:val="single" w:color="auto" w:sz="4" w:space="0"/>
              <w:bottom w:val="single" w:color="auto" w:sz="4" w:space="0"/>
              <w:right w:val="single" w:color="auto" w:sz="4" w:space="0"/>
            </w:tcBorders>
          </w:tcPr>
          <w:p w14:paraId="37D0AFE9">
            <w:pPr>
              <w:spacing w:line="360" w:lineRule="auto"/>
              <w:jc w:val="left"/>
              <w:rPr>
                <w:rFonts w:ascii="宋体" w:hAnsi="宋体"/>
                <w:color w:val="auto"/>
                <w:spacing w:val="-2"/>
                <w:kern w:val="0"/>
                <w:szCs w:val="21"/>
                <w:highlight w:val="none"/>
              </w:rPr>
            </w:pPr>
            <w:r>
              <w:rPr>
                <w:rFonts w:hint="eastAsia" w:ascii="宋体" w:hAnsi="宋体"/>
                <w:color w:val="auto"/>
                <w:spacing w:val="-2"/>
                <w:kern w:val="0"/>
                <w:szCs w:val="21"/>
                <w:highlight w:val="none"/>
              </w:rPr>
              <w:t>报价得分=（基准价/最后报价）×</w:t>
            </w:r>
            <w:r>
              <w:rPr>
                <w:rFonts w:hint="eastAsia" w:ascii="宋体" w:hAnsi="宋体"/>
                <w:color w:val="auto"/>
                <w:spacing w:val="-2"/>
                <w:kern w:val="0"/>
                <w:szCs w:val="21"/>
                <w:highlight w:val="none"/>
                <w:lang w:val="en-US" w:eastAsia="zh-CN"/>
              </w:rPr>
              <w:t>30</w:t>
            </w:r>
            <w:r>
              <w:rPr>
                <w:rFonts w:hint="eastAsia" w:ascii="宋体" w:hAnsi="宋体"/>
                <w:color w:val="auto"/>
                <w:spacing w:val="-2"/>
                <w:kern w:val="0"/>
                <w:szCs w:val="21"/>
                <w:highlight w:val="none"/>
              </w:rPr>
              <w:t>分</w:t>
            </w:r>
          </w:p>
          <w:p w14:paraId="225C20D1">
            <w:pPr>
              <w:spacing w:line="360" w:lineRule="auto"/>
              <w:jc w:val="left"/>
              <w:rPr>
                <w:rFonts w:ascii="宋体" w:hAnsi="宋体"/>
                <w:b/>
                <w:bCs/>
                <w:color w:val="auto"/>
                <w:szCs w:val="21"/>
                <w:highlight w:val="none"/>
              </w:rPr>
            </w:pPr>
            <w:r>
              <w:rPr>
                <w:rFonts w:hint="eastAsia" w:ascii="宋体" w:hAnsi="宋体"/>
                <w:color w:val="auto"/>
                <w:spacing w:val="-2"/>
                <w:kern w:val="0"/>
                <w:szCs w:val="21"/>
                <w:highlight w:val="none"/>
              </w:rPr>
              <w:t>注：评标基准价为满足报价文件要求且报价价格最低的报价，计算分数时四舍五入取小数点后两位</w:t>
            </w:r>
            <w:r>
              <w:rPr>
                <w:rFonts w:hint="eastAsia" w:ascii="宋体" w:hAnsi="宋体"/>
                <w:b/>
                <w:bCs/>
                <w:color w:val="auto"/>
                <w:szCs w:val="21"/>
                <w:highlight w:val="none"/>
              </w:rPr>
              <w:t>。</w:t>
            </w:r>
          </w:p>
        </w:tc>
        <w:tc>
          <w:tcPr>
            <w:tcW w:w="723" w:type="dxa"/>
            <w:tcBorders>
              <w:top w:val="single" w:color="auto" w:sz="4" w:space="0"/>
              <w:left w:val="single" w:color="auto" w:sz="4" w:space="0"/>
              <w:bottom w:val="single" w:color="auto" w:sz="4" w:space="0"/>
              <w:right w:val="single" w:color="auto" w:sz="4" w:space="0"/>
            </w:tcBorders>
          </w:tcPr>
          <w:p w14:paraId="1A26A140">
            <w:pPr>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lang w:val="en-US" w:eastAsia="zh-CN"/>
              </w:rPr>
              <w:t>30</w:t>
            </w:r>
            <w:r>
              <w:rPr>
                <w:rFonts w:hint="eastAsia" w:ascii="宋体" w:hAnsi="宋体" w:eastAsia="宋体" w:cs="宋体"/>
                <w:color w:val="auto"/>
                <w:szCs w:val="21"/>
                <w:highlight w:val="none"/>
              </w:rPr>
              <w:t>分</w:t>
            </w:r>
          </w:p>
        </w:tc>
      </w:tr>
      <w:tr w14:paraId="33E927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11" w:hRule="atLeast"/>
        </w:trPr>
        <w:tc>
          <w:tcPr>
            <w:tcW w:w="250" w:type="dxa"/>
            <w:vMerge w:val="restart"/>
            <w:tcBorders>
              <w:top w:val="single" w:color="auto" w:sz="4" w:space="0"/>
              <w:left w:val="single" w:color="auto" w:sz="4" w:space="0"/>
              <w:right w:val="single" w:color="auto" w:sz="4" w:space="0"/>
            </w:tcBorders>
          </w:tcPr>
          <w:p w14:paraId="3AB8A09D">
            <w:pPr>
              <w:spacing w:line="360" w:lineRule="auto"/>
              <w:jc w:val="left"/>
              <w:rPr>
                <w:rFonts w:hint="eastAsia" w:ascii="宋体" w:hAnsi="宋体"/>
                <w:color w:val="auto"/>
                <w:spacing w:val="-2"/>
                <w:kern w:val="0"/>
                <w:szCs w:val="21"/>
                <w:highlight w:val="none"/>
              </w:rPr>
            </w:pPr>
            <w:r>
              <w:rPr>
                <w:rFonts w:hint="eastAsia" w:ascii="宋体" w:hAnsi="宋体"/>
                <w:color w:val="auto"/>
                <w:spacing w:val="-2"/>
                <w:kern w:val="0"/>
                <w:szCs w:val="21"/>
                <w:highlight w:val="none"/>
              </w:rPr>
              <w:t>2</w:t>
            </w:r>
          </w:p>
        </w:tc>
        <w:tc>
          <w:tcPr>
            <w:tcW w:w="900" w:type="dxa"/>
            <w:vMerge w:val="restart"/>
            <w:tcBorders>
              <w:top w:val="single" w:color="auto" w:sz="4" w:space="0"/>
              <w:left w:val="single" w:color="auto" w:sz="4" w:space="0"/>
              <w:right w:val="single" w:color="auto" w:sz="4" w:space="0"/>
            </w:tcBorders>
            <w:vAlign w:val="top"/>
          </w:tcPr>
          <w:p w14:paraId="20D2E730">
            <w:pPr>
              <w:spacing w:line="360" w:lineRule="auto"/>
              <w:jc w:val="both"/>
              <w:rPr>
                <w:rFonts w:hint="eastAsia" w:ascii="宋体" w:hAnsi="宋体"/>
                <w:color w:val="auto"/>
                <w:spacing w:val="-2"/>
                <w:kern w:val="0"/>
                <w:szCs w:val="21"/>
                <w:highlight w:val="none"/>
              </w:rPr>
            </w:pPr>
            <w:r>
              <w:rPr>
                <w:rFonts w:hint="eastAsia" w:ascii="宋体" w:hAnsi="宋体"/>
                <w:color w:val="auto"/>
                <w:spacing w:val="-2"/>
                <w:kern w:val="0"/>
                <w:szCs w:val="21"/>
                <w:highlight w:val="none"/>
              </w:rPr>
              <w:t>技术分</w:t>
            </w:r>
          </w:p>
          <w:p w14:paraId="256531F7">
            <w:pPr>
              <w:spacing w:line="360" w:lineRule="auto"/>
              <w:jc w:val="both"/>
              <w:rPr>
                <w:rFonts w:hint="eastAsia" w:ascii="宋体" w:hAnsi="宋体"/>
                <w:color w:val="auto"/>
                <w:spacing w:val="-2"/>
                <w:kern w:val="0"/>
                <w:szCs w:val="21"/>
                <w:highlight w:val="none"/>
              </w:rPr>
            </w:pPr>
            <w:r>
              <w:rPr>
                <w:rFonts w:hint="eastAsia" w:ascii="宋体" w:hAnsi="宋体"/>
                <w:color w:val="auto"/>
                <w:spacing w:val="-2"/>
                <w:kern w:val="0"/>
                <w:szCs w:val="21"/>
                <w:highlight w:val="none"/>
              </w:rPr>
              <w:t>（满分</w:t>
            </w:r>
            <w:r>
              <w:rPr>
                <w:rFonts w:hint="eastAsia" w:ascii="宋体" w:hAnsi="宋体"/>
                <w:color w:val="auto"/>
                <w:spacing w:val="-2"/>
                <w:kern w:val="0"/>
                <w:szCs w:val="21"/>
                <w:highlight w:val="none"/>
                <w:lang w:val="en-US" w:eastAsia="zh-CN"/>
              </w:rPr>
              <w:t>43</w:t>
            </w:r>
            <w:r>
              <w:rPr>
                <w:rFonts w:hint="eastAsia" w:ascii="宋体" w:hAnsi="宋体"/>
                <w:color w:val="auto"/>
                <w:spacing w:val="-2"/>
                <w:kern w:val="0"/>
                <w:szCs w:val="21"/>
                <w:highlight w:val="none"/>
              </w:rPr>
              <w:t>分）</w:t>
            </w:r>
          </w:p>
        </w:tc>
        <w:tc>
          <w:tcPr>
            <w:tcW w:w="960" w:type="dxa"/>
            <w:tcBorders>
              <w:top w:val="single" w:color="auto" w:sz="4" w:space="0"/>
              <w:left w:val="single" w:color="auto" w:sz="4" w:space="0"/>
              <w:right w:val="single" w:color="auto" w:sz="4" w:space="0"/>
            </w:tcBorders>
            <w:vAlign w:val="top"/>
          </w:tcPr>
          <w:p w14:paraId="734FCCB9">
            <w:pPr>
              <w:spacing w:line="360" w:lineRule="auto"/>
              <w:jc w:val="left"/>
              <w:rPr>
                <w:rFonts w:hint="eastAsia" w:ascii="宋体" w:hAnsi="宋体"/>
                <w:color w:val="auto"/>
                <w:spacing w:val="-2"/>
                <w:kern w:val="0"/>
                <w:szCs w:val="21"/>
                <w:highlight w:val="none"/>
              </w:rPr>
            </w:pPr>
            <w:r>
              <w:rPr>
                <w:rFonts w:hint="eastAsia" w:ascii="宋体" w:hAnsi="宋体"/>
                <w:color w:val="auto"/>
                <w:spacing w:val="-2"/>
                <w:kern w:val="0"/>
                <w:szCs w:val="21"/>
                <w:highlight w:val="none"/>
              </w:rPr>
              <w:t>平台整体建设方案</w:t>
            </w:r>
          </w:p>
        </w:tc>
        <w:tc>
          <w:tcPr>
            <w:tcW w:w="6986" w:type="dxa"/>
            <w:tcBorders>
              <w:top w:val="single" w:color="auto" w:sz="4" w:space="0"/>
              <w:left w:val="single" w:color="auto" w:sz="4" w:space="0"/>
              <w:right w:val="single" w:color="auto" w:sz="4" w:space="0"/>
            </w:tcBorders>
          </w:tcPr>
          <w:p w14:paraId="39E226B9">
            <w:pPr>
              <w:pStyle w:val="8"/>
              <w:rPr>
                <w:rFonts w:hint="eastAsia"/>
                <w:color w:val="auto"/>
                <w:highlight w:val="none"/>
                <w:lang w:val="en-US" w:eastAsia="zh-CN"/>
              </w:rPr>
            </w:pPr>
            <w:r>
              <w:rPr>
                <w:rFonts w:hint="eastAsia"/>
                <w:color w:val="auto"/>
                <w:highlight w:val="none"/>
              </w:rPr>
              <w:t>一档（</w:t>
            </w:r>
            <w:r>
              <w:rPr>
                <w:rFonts w:hint="eastAsia"/>
                <w:color w:val="auto"/>
                <w:highlight w:val="none"/>
                <w:lang w:val="en-US" w:eastAsia="zh-CN"/>
              </w:rPr>
              <w:t>21</w:t>
            </w:r>
            <w:r>
              <w:rPr>
                <w:rFonts w:hint="eastAsia"/>
                <w:color w:val="auto"/>
                <w:highlight w:val="none"/>
              </w:rPr>
              <w:t>分）：</w:t>
            </w:r>
            <w:r>
              <w:rPr>
                <w:rFonts w:hint="eastAsia"/>
                <w:color w:val="auto"/>
                <w:highlight w:val="none"/>
                <w:lang w:eastAsia="zh-CN"/>
              </w:rPr>
              <w:t>在</w:t>
            </w:r>
            <w:r>
              <w:rPr>
                <w:rFonts w:hint="eastAsia"/>
                <w:color w:val="auto"/>
                <w:highlight w:val="none"/>
                <w:lang w:val="en-US" w:eastAsia="zh-CN"/>
              </w:rPr>
              <w:t>满足第二档的基础上，</w:t>
            </w:r>
            <w:r>
              <w:rPr>
                <w:rFonts w:hint="eastAsia"/>
                <w:color w:val="auto"/>
                <w:highlight w:val="none"/>
              </w:rPr>
              <w:t>方案完整贴合信息服</w:t>
            </w:r>
            <w:r>
              <w:rPr>
                <w:rFonts w:hint="eastAsia"/>
                <w:color w:val="auto"/>
                <w:highlight w:val="none"/>
                <w:lang w:val="en-US" w:eastAsia="zh-CN"/>
              </w:rPr>
              <w:t>务平台需求，技术架构分层清晰、设计先进合理，招标文件全部需求条款均对应专属落地解决方案，技术指标全部满足且多项关键指标优于采购需求；</w:t>
            </w:r>
            <w:r>
              <w:rPr>
                <w:rFonts w:hint="eastAsia"/>
                <w:color w:val="auto"/>
                <w:highlight w:val="none"/>
              </w:rPr>
              <w:t>在数据治理、接口对接</w:t>
            </w:r>
            <w:r>
              <w:rPr>
                <w:rFonts w:hint="eastAsia"/>
                <w:color w:val="auto"/>
                <w:highlight w:val="none"/>
                <w:lang w:eastAsia="zh-CN"/>
              </w:rPr>
              <w:t>，</w:t>
            </w:r>
            <w:r>
              <w:rPr>
                <w:rFonts w:hint="eastAsia"/>
                <w:color w:val="auto"/>
                <w:highlight w:val="none"/>
                <w:lang w:val="en-US" w:eastAsia="zh-CN"/>
              </w:rPr>
              <w:t>内外系统接口对接规范、兼容多类型第三方数据源，PC 端、移动端、大屏等多终端自适应适配方案详实；针对平台使用人群、业务场景做个性化优化设计，具备高并发、高可用、可扩展特性，综合方案为所有报价单位中最优水平。</w:t>
            </w:r>
          </w:p>
          <w:p w14:paraId="212143D8">
            <w:pPr>
              <w:pStyle w:val="8"/>
              <w:rPr>
                <w:rFonts w:hint="eastAsia"/>
                <w:color w:val="auto"/>
                <w:highlight w:val="none"/>
              </w:rPr>
            </w:pPr>
            <w:r>
              <w:rPr>
                <w:rFonts w:hint="eastAsia"/>
                <w:color w:val="auto"/>
                <w:highlight w:val="none"/>
              </w:rPr>
              <w:t>二档（</w:t>
            </w:r>
            <w:r>
              <w:rPr>
                <w:rFonts w:hint="eastAsia"/>
                <w:color w:val="auto"/>
                <w:highlight w:val="none"/>
                <w:lang w:val="en-US" w:eastAsia="zh-CN"/>
              </w:rPr>
              <w:t>13</w:t>
            </w:r>
            <w:r>
              <w:rPr>
                <w:rFonts w:hint="eastAsia"/>
                <w:color w:val="auto"/>
                <w:highlight w:val="none"/>
              </w:rPr>
              <w:t>分）：</w:t>
            </w:r>
            <w:r>
              <w:rPr>
                <w:rFonts w:hint="eastAsia"/>
                <w:color w:val="auto"/>
                <w:highlight w:val="none"/>
                <w:lang w:eastAsia="zh-CN"/>
              </w:rPr>
              <w:t>在</w:t>
            </w:r>
            <w:r>
              <w:rPr>
                <w:rFonts w:hint="eastAsia"/>
                <w:color w:val="auto"/>
                <w:highlight w:val="none"/>
                <w:lang w:val="en-US" w:eastAsia="zh-CN"/>
              </w:rPr>
              <w:t>满足第三档的基础上，方案内容较为详细、完整、框架清晰，覆盖项目核心建设需求；技术架构逻辑较为合理，能够满足招标文件全部基础建设要求，核心技术指标达标；具备基础数据治理、通用接口对接、多终端适配内容，提及 AI 基础交互功能规划，但模块设计深度不足，参数细化落地、执行流程较为简略，整体完整性、先进性、落地细节弱于一档方案。</w:t>
            </w:r>
          </w:p>
          <w:p w14:paraId="5F615228">
            <w:pPr>
              <w:pStyle w:val="8"/>
              <w:rPr>
                <w:rFonts w:ascii="宋体" w:hAnsi="宋体"/>
                <w:b/>
                <w:color w:val="auto"/>
                <w:kern w:val="0"/>
                <w:szCs w:val="21"/>
                <w:highlight w:val="none"/>
              </w:rPr>
            </w:pPr>
            <w:r>
              <w:rPr>
                <w:rFonts w:hint="eastAsia"/>
                <w:color w:val="auto"/>
                <w:highlight w:val="none"/>
              </w:rPr>
              <w:t>三档（</w:t>
            </w:r>
            <w:r>
              <w:rPr>
                <w:rFonts w:hint="eastAsia"/>
                <w:color w:val="auto"/>
                <w:highlight w:val="none"/>
                <w:lang w:val="en-US" w:eastAsia="zh-CN"/>
              </w:rPr>
              <w:t>5</w:t>
            </w:r>
            <w:r>
              <w:rPr>
                <w:rFonts w:hint="eastAsia"/>
                <w:color w:val="auto"/>
                <w:highlight w:val="none"/>
              </w:rPr>
              <w:t>分）：方案简略、架构</w:t>
            </w:r>
            <w:r>
              <w:rPr>
                <w:rFonts w:hint="eastAsia"/>
                <w:color w:val="auto"/>
                <w:highlight w:val="none"/>
                <w:lang w:val="en-US" w:eastAsia="zh-CN"/>
              </w:rPr>
              <w:t>基本合理，覆盖项目建设需求，仅简单提及数据、接口、终端、AI 相关概念，缺少具体实现方式、流程、参数说明，未针对用户业务场景做专项优化，落地支撑材料匮乏。</w:t>
            </w:r>
          </w:p>
        </w:tc>
        <w:tc>
          <w:tcPr>
            <w:tcW w:w="723" w:type="dxa"/>
            <w:tcBorders>
              <w:top w:val="single" w:color="auto" w:sz="4" w:space="0"/>
              <w:left w:val="single" w:color="auto" w:sz="4" w:space="0"/>
              <w:right w:val="single" w:color="auto" w:sz="4" w:space="0"/>
            </w:tcBorders>
          </w:tcPr>
          <w:p w14:paraId="43F4497C">
            <w:pPr>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lang w:val="en-US" w:eastAsia="zh-CN"/>
              </w:rPr>
              <w:t>21</w:t>
            </w:r>
            <w:r>
              <w:rPr>
                <w:rFonts w:hint="eastAsia" w:ascii="宋体" w:hAnsi="宋体" w:eastAsia="宋体" w:cs="宋体"/>
                <w:color w:val="auto"/>
                <w:szCs w:val="21"/>
                <w:highlight w:val="none"/>
              </w:rPr>
              <w:t>分</w:t>
            </w:r>
          </w:p>
        </w:tc>
      </w:tr>
      <w:tr w14:paraId="6A5214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11" w:hRule="atLeast"/>
        </w:trPr>
        <w:tc>
          <w:tcPr>
            <w:tcW w:w="250" w:type="dxa"/>
            <w:vMerge w:val="continue"/>
            <w:tcBorders>
              <w:left w:val="single" w:color="auto" w:sz="4" w:space="0"/>
              <w:right w:val="single" w:color="auto" w:sz="4" w:space="0"/>
            </w:tcBorders>
          </w:tcPr>
          <w:p w14:paraId="5A207806">
            <w:pPr>
              <w:spacing w:line="360" w:lineRule="auto"/>
              <w:jc w:val="left"/>
              <w:rPr>
                <w:rFonts w:hint="eastAsia" w:ascii="宋体" w:hAnsi="宋体"/>
                <w:color w:val="auto"/>
                <w:spacing w:val="-2"/>
                <w:kern w:val="0"/>
                <w:szCs w:val="21"/>
                <w:highlight w:val="green"/>
              </w:rPr>
            </w:pPr>
          </w:p>
        </w:tc>
        <w:tc>
          <w:tcPr>
            <w:tcW w:w="900" w:type="dxa"/>
            <w:vMerge w:val="continue"/>
            <w:tcBorders>
              <w:left w:val="single" w:color="auto" w:sz="4" w:space="0"/>
              <w:right w:val="single" w:color="auto" w:sz="4" w:space="0"/>
            </w:tcBorders>
            <w:vAlign w:val="center"/>
          </w:tcPr>
          <w:p w14:paraId="2B977594">
            <w:pPr>
              <w:spacing w:line="360" w:lineRule="auto"/>
              <w:jc w:val="left"/>
              <w:rPr>
                <w:rFonts w:hint="eastAsia" w:ascii="宋体" w:hAnsi="宋体"/>
                <w:color w:val="auto"/>
                <w:spacing w:val="-2"/>
                <w:kern w:val="0"/>
                <w:szCs w:val="21"/>
                <w:highlight w:val="green"/>
              </w:rPr>
            </w:pPr>
          </w:p>
        </w:tc>
        <w:tc>
          <w:tcPr>
            <w:tcW w:w="960" w:type="dxa"/>
            <w:tcBorders>
              <w:top w:val="single" w:color="auto" w:sz="4" w:space="0"/>
              <w:left w:val="single" w:color="auto" w:sz="4" w:space="0"/>
              <w:right w:val="single" w:color="auto" w:sz="4" w:space="0"/>
            </w:tcBorders>
          </w:tcPr>
          <w:p w14:paraId="7E7C0BDA">
            <w:pPr>
              <w:spacing w:line="360" w:lineRule="auto"/>
              <w:jc w:val="left"/>
              <w:rPr>
                <w:rFonts w:hint="eastAsia" w:ascii="宋体" w:hAnsi="宋体"/>
                <w:color w:val="auto"/>
                <w:spacing w:val="-2"/>
                <w:kern w:val="0"/>
                <w:szCs w:val="21"/>
                <w:highlight w:val="none"/>
              </w:rPr>
            </w:pPr>
            <w:r>
              <w:rPr>
                <w:rFonts w:hint="eastAsia" w:ascii="宋体" w:hAnsi="宋体"/>
                <w:color w:val="auto"/>
                <w:spacing w:val="-2"/>
                <w:kern w:val="0"/>
                <w:szCs w:val="21"/>
                <w:highlight w:val="none"/>
              </w:rPr>
              <w:t>安全方案</w:t>
            </w:r>
          </w:p>
        </w:tc>
        <w:tc>
          <w:tcPr>
            <w:tcW w:w="6986" w:type="dxa"/>
            <w:tcBorders>
              <w:top w:val="single" w:color="auto" w:sz="4" w:space="0"/>
              <w:left w:val="single" w:color="auto" w:sz="4" w:space="0"/>
              <w:right w:val="single" w:color="auto" w:sz="4" w:space="0"/>
            </w:tcBorders>
          </w:tcPr>
          <w:p w14:paraId="197BB8FE">
            <w:pPr>
              <w:pStyle w:val="8"/>
              <w:rPr>
                <w:rFonts w:hint="eastAsia"/>
                <w:color w:val="auto"/>
                <w:highlight w:val="none"/>
                <w:lang w:val="en-US" w:eastAsia="zh-CN"/>
              </w:rPr>
            </w:pPr>
            <w:r>
              <w:rPr>
                <w:rFonts w:hint="eastAsia"/>
                <w:color w:val="auto"/>
                <w:highlight w:val="none"/>
                <w:lang w:val="en-US" w:eastAsia="zh-CN"/>
              </w:rPr>
              <w:t>一档（10分）：</w:t>
            </w:r>
            <w:r>
              <w:rPr>
                <w:rFonts w:hint="eastAsia"/>
                <w:color w:val="auto"/>
                <w:highlight w:val="none"/>
                <w:lang w:eastAsia="zh-CN"/>
              </w:rPr>
              <w:t>在</w:t>
            </w:r>
            <w:r>
              <w:rPr>
                <w:rFonts w:hint="eastAsia"/>
                <w:color w:val="auto"/>
                <w:highlight w:val="none"/>
                <w:lang w:val="en-US" w:eastAsia="zh-CN"/>
              </w:rPr>
              <w:t>满足第二档的基础上，对于系统安全性有充分考虑，安全方案体系完整、规范、可行，安全策略到位，完整覆盖数据脱敏、全链路操作留痕、多级分级授权、全类型敏感信息加密存储传输等，支持等保2.0三级建设要求（密码策略、验证码、防注入等），从账号权限、运维管理机制到数据安全均有充分安全措施保障，可直接落地实施，是投标文件中最优方案；</w:t>
            </w:r>
          </w:p>
          <w:p w14:paraId="31EDDFC0">
            <w:pPr>
              <w:pStyle w:val="8"/>
              <w:rPr>
                <w:rFonts w:hint="eastAsia"/>
                <w:color w:val="auto"/>
                <w:highlight w:val="none"/>
                <w:lang w:val="en-US" w:eastAsia="zh-CN"/>
              </w:rPr>
            </w:pPr>
            <w:r>
              <w:rPr>
                <w:rFonts w:hint="eastAsia"/>
                <w:color w:val="auto"/>
                <w:highlight w:val="none"/>
                <w:lang w:val="en-US" w:eastAsia="zh-CN"/>
              </w:rPr>
              <w:t>二档（7分）：</w:t>
            </w:r>
            <w:r>
              <w:rPr>
                <w:rFonts w:hint="eastAsia"/>
                <w:color w:val="auto"/>
                <w:highlight w:val="none"/>
                <w:lang w:eastAsia="zh-CN"/>
              </w:rPr>
              <w:t>在</w:t>
            </w:r>
            <w:r>
              <w:rPr>
                <w:rFonts w:hint="eastAsia"/>
                <w:color w:val="auto"/>
                <w:highlight w:val="none"/>
                <w:lang w:val="en-US" w:eastAsia="zh-CN"/>
              </w:rPr>
              <w:t>满足第三档的基础上，具备较完整基础安全防护框架，基础安全措施与核心安全措施较为齐全，方案行文规范、逻辑严谨，安全防护聚焦应用与数据层面，网络、运维、第三方接口安全设计内容较为简略；</w:t>
            </w:r>
          </w:p>
          <w:p w14:paraId="670E73CF">
            <w:pPr>
              <w:pStyle w:val="8"/>
              <w:rPr>
                <w:rFonts w:hint="eastAsia" w:ascii="宋体" w:hAnsi="宋体"/>
                <w:b/>
                <w:color w:val="auto"/>
                <w:kern w:val="0"/>
                <w:szCs w:val="21"/>
                <w:highlight w:val="none"/>
              </w:rPr>
            </w:pPr>
            <w:r>
              <w:rPr>
                <w:rFonts w:hint="eastAsia"/>
                <w:color w:val="auto"/>
                <w:highlight w:val="none"/>
                <w:lang w:val="en-US" w:eastAsia="zh-CN"/>
              </w:rPr>
              <w:t>三档（4分）：有基本的安全方案，包含基础安全思路，有基本的安全措施，能满足系统最低安全运行底线，安全防护描述简略，对于具体落地措施缺少描述。</w:t>
            </w:r>
          </w:p>
        </w:tc>
        <w:tc>
          <w:tcPr>
            <w:tcW w:w="723" w:type="dxa"/>
            <w:tcBorders>
              <w:top w:val="single" w:color="auto" w:sz="4" w:space="0"/>
              <w:left w:val="single" w:color="auto" w:sz="4" w:space="0"/>
              <w:right w:val="single" w:color="auto" w:sz="4" w:space="0"/>
            </w:tcBorders>
          </w:tcPr>
          <w:p w14:paraId="2F9DE177">
            <w:pPr>
              <w:spacing w:line="360" w:lineRule="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10</w:t>
            </w:r>
            <w:r>
              <w:rPr>
                <w:rFonts w:hint="eastAsia" w:ascii="宋体" w:hAnsi="宋体" w:eastAsia="宋体" w:cs="宋体"/>
                <w:color w:val="auto"/>
                <w:szCs w:val="21"/>
                <w:highlight w:val="none"/>
              </w:rPr>
              <w:t>分</w:t>
            </w:r>
          </w:p>
        </w:tc>
      </w:tr>
      <w:tr w14:paraId="1B5B10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11" w:hRule="atLeast"/>
        </w:trPr>
        <w:tc>
          <w:tcPr>
            <w:tcW w:w="250" w:type="dxa"/>
            <w:vMerge w:val="continue"/>
            <w:tcBorders>
              <w:left w:val="single" w:color="auto" w:sz="4" w:space="0"/>
              <w:right w:val="single" w:color="auto" w:sz="4" w:space="0"/>
            </w:tcBorders>
          </w:tcPr>
          <w:p w14:paraId="13E15AE6">
            <w:pPr>
              <w:spacing w:line="360" w:lineRule="auto"/>
              <w:rPr>
                <w:rFonts w:hint="eastAsia" w:ascii="宋体" w:hAnsi="宋体" w:eastAsia="宋体" w:cs="宋体"/>
                <w:b w:val="0"/>
                <w:bCs w:val="0"/>
                <w:color w:val="auto"/>
                <w:sz w:val="21"/>
                <w:szCs w:val="21"/>
                <w:highlight w:val="green"/>
              </w:rPr>
            </w:pPr>
          </w:p>
        </w:tc>
        <w:tc>
          <w:tcPr>
            <w:tcW w:w="900" w:type="dxa"/>
            <w:vMerge w:val="continue"/>
            <w:tcBorders>
              <w:left w:val="single" w:color="auto" w:sz="4" w:space="0"/>
              <w:right w:val="single" w:color="auto" w:sz="4" w:space="0"/>
            </w:tcBorders>
            <w:vAlign w:val="center"/>
          </w:tcPr>
          <w:p w14:paraId="5752D3F5">
            <w:pPr>
              <w:spacing w:line="360" w:lineRule="auto"/>
              <w:jc w:val="center"/>
              <w:rPr>
                <w:rFonts w:hint="eastAsia" w:ascii="宋体" w:hAnsi="宋体" w:eastAsia="宋体" w:cs="宋体"/>
                <w:b w:val="0"/>
                <w:bCs w:val="0"/>
                <w:color w:val="auto"/>
                <w:sz w:val="21"/>
                <w:szCs w:val="21"/>
                <w:highlight w:val="green"/>
              </w:rPr>
            </w:pPr>
          </w:p>
        </w:tc>
        <w:tc>
          <w:tcPr>
            <w:tcW w:w="960" w:type="dxa"/>
            <w:tcBorders>
              <w:top w:val="single" w:color="auto" w:sz="4" w:space="0"/>
              <w:left w:val="single" w:color="auto" w:sz="4" w:space="0"/>
              <w:right w:val="single" w:color="auto" w:sz="4" w:space="0"/>
            </w:tcBorders>
          </w:tcPr>
          <w:p w14:paraId="1B40DE32">
            <w:pPr>
              <w:pStyle w:val="8"/>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测试、实施方案</w:t>
            </w:r>
          </w:p>
        </w:tc>
        <w:tc>
          <w:tcPr>
            <w:tcW w:w="6986" w:type="dxa"/>
            <w:tcBorders>
              <w:top w:val="single" w:color="auto" w:sz="4" w:space="0"/>
              <w:left w:val="single" w:color="auto" w:sz="4" w:space="0"/>
              <w:right w:val="single" w:color="auto" w:sz="4" w:space="0"/>
            </w:tcBorders>
          </w:tcPr>
          <w:p w14:paraId="400BA6EB">
            <w:pPr>
              <w:pStyle w:val="8"/>
              <w:rPr>
                <w:rFonts w:hint="eastAsia"/>
                <w:color w:val="auto"/>
                <w:highlight w:val="none"/>
                <w:lang w:val="en-US" w:eastAsia="zh-CN"/>
              </w:rPr>
            </w:pPr>
            <w:r>
              <w:rPr>
                <w:rFonts w:hint="eastAsia"/>
                <w:color w:val="auto"/>
                <w:highlight w:val="none"/>
                <w:lang w:val="en-US" w:eastAsia="zh-CN"/>
              </w:rPr>
              <w:t>一档（12分）：</w:t>
            </w:r>
            <w:r>
              <w:rPr>
                <w:rFonts w:hint="eastAsia"/>
                <w:color w:val="auto"/>
                <w:highlight w:val="none"/>
                <w:lang w:eastAsia="zh-CN"/>
              </w:rPr>
              <w:t>在</w:t>
            </w:r>
            <w:r>
              <w:rPr>
                <w:rFonts w:hint="eastAsia"/>
                <w:color w:val="auto"/>
                <w:highlight w:val="none"/>
                <w:lang w:val="en-US" w:eastAsia="zh-CN"/>
              </w:rPr>
              <w:t>满足第二档的基础上，分阶段里程碑计划清晰细化，人员分工、工期排布、交付节点、资源配置完整；测试体系全覆盖单元测试、集成测试、功能 UAT 验收、压力性能、安全兼容性测试，各测试环节配套完整用例、判定标准、测试报告模板；新旧系统平滑上线切换、数据迁移、停机/不停机切换、回滚方案完整，对测试中可能出现的问题有应急预案、处置流程实施、测试文档、培训手册、运维手册等全套交付材料齐全，落地保障措施完善，实施测试整体方案为所有投标单位最优。</w:t>
            </w:r>
          </w:p>
          <w:p w14:paraId="455671D2">
            <w:pPr>
              <w:pStyle w:val="8"/>
              <w:rPr>
                <w:rFonts w:hint="eastAsia"/>
                <w:color w:val="auto"/>
                <w:highlight w:val="none"/>
                <w:lang w:val="en-US" w:eastAsia="zh-CN"/>
              </w:rPr>
            </w:pPr>
            <w:r>
              <w:rPr>
                <w:rFonts w:hint="eastAsia"/>
                <w:color w:val="auto"/>
                <w:highlight w:val="none"/>
                <w:lang w:val="en-US" w:eastAsia="zh-CN"/>
              </w:rPr>
              <w:t>二档（8分）：</w:t>
            </w:r>
            <w:r>
              <w:rPr>
                <w:rFonts w:hint="eastAsia"/>
                <w:color w:val="auto"/>
                <w:highlight w:val="none"/>
                <w:lang w:eastAsia="zh-CN"/>
              </w:rPr>
              <w:t>在</w:t>
            </w:r>
            <w:r>
              <w:rPr>
                <w:rFonts w:hint="eastAsia"/>
                <w:color w:val="auto"/>
                <w:highlight w:val="none"/>
                <w:lang w:val="en-US" w:eastAsia="zh-CN"/>
              </w:rPr>
              <w:t>满足第三档的基础上，实施、测试内容基本齐全，分阶段实施计划框架完整，关键工期、人员安排清晰；可完整开展功能测试、基础稳定性测试，具备基础单元、集成测试思路，配备简易测试用例；具备基础上线切换与数据迁移方案，但缺少多场景切换备选方案；能较好完成项目的实施，并进行功能、稳定性测试，实施落地保障细则不足，无重大方案缺陷，但完整性、风险管控能力弱于一档。</w:t>
            </w:r>
          </w:p>
          <w:p w14:paraId="6A74764D">
            <w:pPr>
              <w:pStyle w:val="8"/>
              <w:rPr>
                <w:color w:val="auto"/>
                <w:highlight w:val="none"/>
              </w:rPr>
            </w:pPr>
            <w:r>
              <w:rPr>
                <w:rFonts w:hint="eastAsia"/>
                <w:color w:val="auto"/>
                <w:highlight w:val="none"/>
                <w:lang w:val="en-US" w:eastAsia="zh-CN"/>
              </w:rPr>
              <w:t>三档（4分）：实施、测试方案内容简单粗略，仅罗列大致实施步骤与基础功能测试项，无细分阶段、明确工期、人员配置规划；对独立上线切换、数据迁移专项方案，描述不足，未制定任何故障应急预案，基本能完成项目测试。</w:t>
            </w:r>
          </w:p>
        </w:tc>
        <w:tc>
          <w:tcPr>
            <w:tcW w:w="723" w:type="dxa"/>
            <w:tcBorders>
              <w:top w:val="single" w:color="auto" w:sz="4" w:space="0"/>
              <w:left w:val="single" w:color="auto" w:sz="4" w:space="0"/>
              <w:right w:val="single" w:color="auto" w:sz="4" w:space="0"/>
            </w:tcBorders>
          </w:tcPr>
          <w:p w14:paraId="4F826B7A">
            <w:pPr>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分</w:t>
            </w:r>
          </w:p>
        </w:tc>
      </w:tr>
      <w:tr w14:paraId="6D1006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5" w:hRule="atLeast"/>
        </w:trPr>
        <w:tc>
          <w:tcPr>
            <w:tcW w:w="250" w:type="dxa"/>
            <w:vMerge w:val="restart"/>
            <w:tcBorders>
              <w:top w:val="single" w:color="auto" w:sz="4" w:space="0"/>
              <w:left w:val="single" w:color="auto" w:sz="4" w:space="0"/>
              <w:right w:val="single" w:color="auto" w:sz="4" w:space="0"/>
            </w:tcBorders>
          </w:tcPr>
          <w:p w14:paraId="2E22651E">
            <w:pPr>
              <w:pStyle w:val="33"/>
              <w:adjustRightInd/>
              <w:spacing w:before="0" w:after="0" w:line="360" w:lineRule="auto"/>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rPr>
              <w:t>3</w:t>
            </w:r>
          </w:p>
        </w:tc>
        <w:tc>
          <w:tcPr>
            <w:tcW w:w="900" w:type="dxa"/>
            <w:vMerge w:val="restart"/>
            <w:tcBorders>
              <w:top w:val="single" w:color="auto" w:sz="4" w:space="0"/>
              <w:left w:val="single" w:color="auto" w:sz="4" w:space="0"/>
              <w:right w:val="single" w:color="auto" w:sz="4" w:space="0"/>
            </w:tcBorders>
          </w:tcPr>
          <w:p w14:paraId="3569F9F7">
            <w:pPr>
              <w:pStyle w:val="33"/>
              <w:adjustRightInd/>
              <w:spacing w:before="0" w:after="0" w:line="360" w:lineRule="auto"/>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rPr>
              <w:t>商务分</w:t>
            </w:r>
          </w:p>
          <w:p w14:paraId="495613BB">
            <w:pPr>
              <w:pStyle w:val="33"/>
              <w:adjustRightInd/>
              <w:spacing w:before="0" w:after="0" w:line="360" w:lineRule="auto"/>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rPr>
              <w:t>(</w:t>
            </w:r>
            <w:r>
              <w:rPr>
                <w:rFonts w:hint="eastAsia" w:ascii="宋体" w:hAnsi="宋体" w:eastAsia="宋体" w:cs="宋体"/>
                <w:b w:val="0"/>
                <w:bCs w:val="0"/>
                <w:color w:val="auto"/>
                <w:sz w:val="21"/>
                <w:szCs w:val="21"/>
                <w:highlight w:val="none"/>
              </w:rPr>
              <w:t>满分</w:t>
            </w:r>
            <w:r>
              <w:rPr>
                <w:rFonts w:hint="eastAsia" w:ascii="宋体" w:hAnsi="宋体" w:eastAsia="宋体" w:cs="宋体"/>
                <w:b w:val="0"/>
                <w:bCs w:val="0"/>
                <w:color w:val="auto"/>
                <w:kern w:val="2"/>
                <w:sz w:val="21"/>
                <w:szCs w:val="21"/>
                <w:highlight w:val="none"/>
                <w:lang w:val="en-US" w:eastAsia="zh-CN"/>
              </w:rPr>
              <w:t>27</w:t>
            </w:r>
            <w:r>
              <w:rPr>
                <w:rFonts w:hint="eastAsia" w:ascii="宋体" w:hAnsi="宋体" w:eastAsia="宋体" w:cs="宋体"/>
                <w:b w:val="0"/>
                <w:bCs w:val="0"/>
                <w:color w:val="auto"/>
                <w:kern w:val="2"/>
                <w:sz w:val="21"/>
                <w:szCs w:val="21"/>
                <w:highlight w:val="none"/>
              </w:rPr>
              <w:t>分）</w:t>
            </w:r>
          </w:p>
        </w:tc>
        <w:tc>
          <w:tcPr>
            <w:tcW w:w="960" w:type="dxa"/>
            <w:tcBorders>
              <w:top w:val="single" w:color="auto" w:sz="4" w:space="0"/>
              <w:left w:val="single" w:color="auto" w:sz="4" w:space="0"/>
              <w:right w:val="single" w:color="auto" w:sz="4" w:space="0"/>
            </w:tcBorders>
          </w:tcPr>
          <w:p w14:paraId="75763829">
            <w:pPr>
              <w:pStyle w:val="8"/>
              <w:jc w:val="left"/>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同类业绩</w:t>
            </w:r>
          </w:p>
          <w:p w14:paraId="0728DD23">
            <w:pPr>
              <w:pStyle w:val="33"/>
              <w:spacing w:before="0" w:after="0" w:line="360" w:lineRule="auto"/>
              <w:jc w:val="left"/>
              <w:rPr>
                <w:rFonts w:hint="eastAsia" w:ascii="宋体" w:hAnsi="宋体" w:eastAsia="宋体" w:cs="宋体"/>
                <w:b w:val="0"/>
                <w:bCs w:val="0"/>
                <w:color w:val="auto"/>
                <w:sz w:val="21"/>
                <w:szCs w:val="21"/>
                <w:highlight w:val="none"/>
              </w:rPr>
            </w:pPr>
          </w:p>
        </w:tc>
        <w:tc>
          <w:tcPr>
            <w:tcW w:w="6986" w:type="dxa"/>
            <w:tcBorders>
              <w:top w:val="single" w:color="auto" w:sz="4" w:space="0"/>
              <w:left w:val="single" w:color="auto" w:sz="4" w:space="0"/>
              <w:bottom w:val="single" w:color="auto" w:sz="4" w:space="0"/>
              <w:right w:val="single" w:color="auto" w:sz="4" w:space="0"/>
            </w:tcBorders>
          </w:tcPr>
          <w:p w14:paraId="32334AEF">
            <w:pPr>
              <w:snapToGrid w:val="0"/>
              <w:spacing w:line="360" w:lineRule="auto"/>
              <w:rPr>
                <w:rFonts w:hint="eastAsia"/>
                <w:color w:val="auto"/>
                <w:highlight w:val="none"/>
              </w:rPr>
            </w:pPr>
            <w:r>
              <w:rPr>
                <w:rFonts w:hint="eastAsia"/>
                <w:color w:val="auto"/>
                <w:highlight w:val="none"/>
              </w:rPr>
              <w:t>投标人自2023年1月1日（合同签订时间为准）以来，独立承接信息服务平台、政务信息化软件开发等</w:t>
            </w:r>
            <w:r>
              <w:rPr>
                <w:rFonts w:hint="default"/>
                <w:color w:val="auto"/>
                <w:highlight w:val="none"/>
              </w:rPr>
              <w:t>类似信息化平台建设项目</w:t>
            </w:r>
            <w:r>
              <w:rPr>
                <w:rFonts w:hint="eastAsia"/>
                <w:color w:val="auto"/>
                <w:highlight w:val="none"/>
              </w:rPr>
              <w:t>的，每提供1个完整有效业绩得1分（须提供有效的供货（成交）通知书及合同关键页（金额、建设内容、盖章页，须能清晰反映项目内容）</w:t>
            </w:r>
            <w:r>
              <w:rPr>
                <w:rFonts w:hint="default"/>
                <w:color w:val="auto"/>
                <w:highlight w:val="none"/>
              </w:rPr>
              <w:t>及验收材料</w:t>
            </w:r>
            <w:r>
              <w:rPr>
                <w:rFonts w:hint="eastAsia"/>
                <w:color w:val="auto"/>
                <w:highlight w:val="none"/>
              </w:rPr>
              <w:t>并加盖</w:t>
            </w:r>
            <w:r>
              <w:rPr>
                <w:rFonts w:hint="eastAsia"/>
                <w:color w:val="auto"/>
                <w:highlight w:val="none"/>
                <w:lang w:val="en-US" w:eastAsia="zh-CN"/>
              </w:rPr>
              <w:t>报价</w:t>
            </w:r>
            <w:r>
              <w:rPr>
                <w:rFonts w:hint="eastAsia"/>
                <w:color w:val="auto"/>
                <w:highlight w:val="none"/>
              </w:rPr>
              <w:t>人公章，否则不予计分，同一采购人多期项目仅计1个案例），最高</w:t>
            </w:r>
            <w:r>
              <w:rPr>
                <w:rFonts w:hint="eastAsia"/>
                <w:color w:val="auto"/>
                <w:highlight w:val="none"/>
                <w:lang w:val="en-US" w:eastAsia="zh-CN"/>
              </w:rPr>
              <w:t>4</w:t>
            </w:r>
            <w:r>
              <w:rPr>
                <w:rFonts w:hint="eastAsia"/>
                <w:color w:val="auto"/>
                <w:highlight w:val="none"/>
              </w:rPr>
              <w:t>分。</w:t>
            </w:r>
          </w:p>
          <w:p w14:paraId="3FBA996D">
            <w:pPr>
              <w:snapToGrid w:val="0"/>
              <w:spacing w:line="360" w:lineRule="auto"/>
              <w:rPr>
                <w:color w:val="auto"/>
                <w:highlight w:val="none"/>
              </w:rPr>
            </w:pPr>
            <w:r>
              <w:rPr>
                <w:rFonts w:hint="eastAsia"/>
                <w:color w:val="auto"/>
                <w:highlight w:val="none"/>
              </w:rPr>
              <w:t>评审依据：须提供供货（成交）通知书及合同关键页</w:t>
            </w:r>
            <w:r>
              <w:rPr>
                <w:rFonts w:hint="eastAsia"/>
                <w:color w:val="auto"/>
                <w:highlight w:val="none"/>
                <w:lang w:val="en-US" w:eastAsia="zh-CN"/>
              </w:rPr>
              <w:t>及验收材料</w:t>
            </w:r>
            <w:r>
              <w:rPr>
                <w:rFonts w:hint="eastAsia"/>
                <w:color w:val="auto"/>
                <w:highlight w:val="none"/>
              </w:rPr>
              <w:t>复印件加盖报价人公章，提供资料不全不得分。</w:t>
            </w:r>
          </w:p>
        </w:tc>
        <w:tc>
          <w:tcPr>
            <w:tcW w:w="723" w:type="dxa"/>
            <w:tcBorders>
              <w:top w:val="single" w:color="auto" w:sz="4" w:space="0"/>
              <w:left w:val="single" w:color="auto" w:sz="4" w:space="0"/>
              <w:bottom w:val="single" w:color="auto" w:sz="4" w:space="0"/>
              <w:right w:val="single" w:color="auto" w:sz="4" w:space="0"/>
            </w:tcBorders>
          </w:tcPr>
          <w:p w14:paraId="6CE9F774">
            <w:pPr>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lang w:val="en-US" w:eastAsia="zh-CN"/>
              </w:rPr>
              <w:t>4</w:t>
            </w:r>
            <w:r>
              <w:rPr>
                <w:rFonts w:hint="eastAsia" w:ascii="宋体" w:hAnsi="宋体" w:eastAsia="宋体" w:cs="宋体"/>
                <w:color w:val="auto"/>
                <w:szCs w:val="21"/>
                <w:highlight w:val="none"/>
              </w:rPr>
              <w:t>分</w:t>
            </w:r>
          </w:p>
        </w:tc>
      </w:tr>
      <w:tr w14:paraId="7F2B67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5" w:hRule="atLeast"/>
        </w:trPr>
        <w:tc>
          <w:tcPr>
            <w:tcW w:w="250" w:type="dxa"/>
            <w:vMerge w:val="continue"/>
            <w:tcBorders>
              <w:left w:val="single" w:color="auto" w:sz="4" w:space="0"/>
              <w:right w:val="single" w:color="auto" w:sz="4" w:space="0"/>
            </w:tcBorders>
          </w:tcPr>
          <w:p w14:paraId="7EA4DF65">
            <w:pPr>
              <w:pStyle w:val="33"/>
              <w:adjustRightInd/>
              <w:spacing w:before="0" w:after="0" w:line="360" w:lineRule="auto"/>
              <w:rPr>
                <w:rFonts w:hint="eastAsia" w:ascii="宋体" w:hAnsi="宋体" w:eastAsia="宋体" w:cs="宋体"/>
                <w:b w:val="0"/>
                <w:bCs w:val="0"/>
                <w:color w:val="auto"/>
                <w:kern w:val="2"/>
                <w:sz w:val="21"/>
                <w:szCs w:val="21"/>
                <w:highlight w:val="green"/>
              </w:rPr>
            </w:pPr>
          </w:p>
        </w:tc>
        <w:tc>
          <w:tcPr>
            <w:tcW w:w="900" w:type="dxa"/>
            <w:vMerge w:val="continue"/>
            <w:tcBorders>
              <w:left w:val="single" w:color="auto" w:sz="4" w:space="0"/>
              <w:right w:val="single" w:color="auto" w:sz="4" w:space="0"/>
            </w:tcBorders>
          </w:tcPr>
          <w:p w14:paraId="140EAAFF">
            <w:pPr>
              <w:pStyle w:val="33"/>
              <w:adjustRightInd/>
              <w:spacing w:before="0" w:after="0" w:line="360" w:lineRule="auto"/>
              <w:rPr>
                <w:rFonts w:hint="eastAsia" w:ascii="宋体" w:hAnsi="宋体" w:eastAsia="宋体" w:cs="宋体"/>
                <w:b w:val="0"/>
                <w:bCs w:val="0"/>
                <w:color w:val="auto"/>
                <w:kern w:val="2"/>
                <w:sz w:val="21"/>
                <w:szCs w:val="21"/>
                <w:highlight w:val="green"/>
              </w:rPr>
            </w:pPr>
          </w:p>
        </w:tc>
        <w:tc>
          <w:tcPr>
            <w:tcW w:w="960" w:type="dxa"/>
            <w:tcBorders>
              <w:top w:val="single" w:color="auto" w:sz="4" w:space="0"/>
              <w:left w:val="single" w:color="auto" w:sz="4" w:space="0"/>
              <w:right w:val="single" w:color="auto" w:sz="4" w:space="0"/>
            </w:tcBorders>
          </w:tcPr>
          <w:p w14:paraId="4D2ADD30">
            <w:pPr>
              <w:pStyle w:val="8"/>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企业资信与体系认证</w:t>
            </w:r>
          </w:p>
        </w:tc>
        <w:tc>
          <w:tcPr>
            <w:tcW w:w="6986" w:type="dxa"/>
            <w:tcBorders>
              <w:top w:val="single" w:color="auto" w:sz="4" w:space="0"/>
              <w:left w:val="single" w:color="auto" w:sz="4" w:space="0"/>
              <w:bottom w:val="single" w:color="auto" w:sz="4" w:space="0"/>
              <w:right w:val="single" w:color="auto" w:sz="4" w:space="0"/>
            </w:tcBorders>
          </w:tcPr>
          <w:p w14:paraId="361FCEFE">
            <w:pPr>
              <w:pStyle w:val="8"/>
              <w:rPr>
                <w:rFonts w:hint="eastAsia"/>
                <w:color w:val="auto"/>
                <w:highlight w:val="none"/>
              </w:rPr>
            </w:pPr>
            <w:r>
              <w:rPr>
                <w:rFonts w:hint="eastAsia"/>
                <w:color w:val="auto"/>
                <w:highlight w:val="none"/>
              </w:rPr>
              <w:t>1.</w:t>
            </w:r>
            <w:r>
              <w:rPr>
                <w:rFonts w:hint="eastAsia"/>
                <w:color w:val="auto"/>
                <w:highlight w:val="none"/>
                <w:lang w:val="en-US" w:eastAsia="zh-CN"/>
              </w:rPr>
              <w:t>通过</w:t>
            </w:r>
            <w:r>
              <w:rPr>
                <w:rFonts w:hint="eastAsia"/>
                <w:color w:val="auto"/>
                <w:highlight w:val="none"/>
              </w:rPr>
              <w:t>ISO9001质量管理体系</w:t>
            </w:r>
            <w:r>
              <w:rPr>
                <w:rFonts w:hint="eastAsia"/>
                <w:color w:val="auto"/>
                <w:highlight w:val="none"/>
                <w:lang w:val="en-US" w:eastAsia="zh-CN"/>
              </w:rPr>
              <w:t>认证的</w:t>
            </w:r>
            <w:r>
              <w:rPr>
                <w:rFonts w:hint="eastAsia"/>
                <w:color w:val="auto"/>
                <w:highlight w:val="none"/>
              </w:rPr>
              <w:t>加1分；</w:t>
            </w:r>
          </w:p>
          <w:p w14:paraId="045D9575">
            <w:pPr>
              <w:pStyle w:val="8"/>
              <w:rPr>
                <w:rFonts w:hint="eastAsia"/>
                <w:color w:val="auto"/>
                <w:highlight w:val="none"/>
              </w:rPr>
            </w:pPr>
            <w:r>
              <w:rPr>
                <w:rFonts w:hint="eastAsia"/>
                <w:color w:val="auto"/>
                <w:highlight w:val="none"/>
              </w:rPr>
              <w:t>2.具备</w:t>
            </w:r>
            <w:r>
              <w:rPr>
                <w:rFonts w:hint="eastAsia"/>
                <w:color w:val="auto"/>
                <w:highlight w:val="none"/>
                <w:lang w:val="en-US" w:eastAsia="zh-CN"/>
              </w:rPr>
              <w:t>与</w:t>
            </w:r>
            <w:r>
              <w:rPr>
                <w:rFonts w:hint="eastAsia"/>
                <w:highlight w:val="none"/>
              </w:rPr>
              <w:t>本项目直接相关的核心技术领域</w:t>
            </w:r>
            <w:r>
              <w:rPr>
                <w:rFonts w:hint="eastAsia"/>
                <w:highlight w:val="none"/>
                <w:lang w:val="en-US" w:eastAsia="zh-CN"/>
              </w:rPr>
              <w:t>相近的</w:t>
            </w:r>
            <w:r>
              <w:rPr>
                <w:rFonts w:hint="eastAsia"/>
                <w:color w:val="auto"/>
                <w:highlight w:val="none"/>
              </w:rPr>
              <w:t>软件著作权登记证书</w:t>
            </w:r>
            <w:r>
              <w:rPr>
                <w:rFonts w:hint="eastAsia"/>
                <w:color w:val="auto"/>
                <w:highlight w:val="none"/>
                <w:lang w:eastAsia="zh-CN"/>
              </w:rPr>
              <w:t>的</w:t>
            </w:r>
            <w:r>
              <w:rPr>
                <w:rFonts w:hint="eastAsia"/>
                <w:color w:val="auto"/>
                <w:highlight w:val="none"/>
              </w:rPr>
              <w:t>每项</w:t>
            </w:r>
            <w:r>
              <w:rPr>
                <w:rFonts w:hint="eastAsia"/>
                <w:color w:val="auto"/>
                <w:highlight w:val="none"/>
                <w:lang w:val="en-US" w:eastAsia="zh-CN"/>
              </w:rPr>
              <w:t>1</w:t>
            </w:r>
            <w:r>
              <w:rPr>
                <w:rFonts w:hint="eastAsia"/>
                <w:color w:val="auto"/>
                <w:highlight w:val="none"/>
              </w:rPr>
              <w:t>分，最高</w:t>
            </w:r>
            <w:r>
              <w:rPr>
                <w:rFonts w:hint="eastAsia"/>
                <w:color w:val="auto"/>
                <w:highlight w:val="none"/>
                <w:lang w:val="en-US" w:eastAsia="zh-CN"/>
              </w:rPr>
              <w:t>5</w:t>
            </w:r>
            <w:r>
              <w:rPr>
                <w:rFonts w:hint="eastAsia"/>
                <w:color w:val="auto"/>
                <w:highlight w:val="none"/>
              </w:rPr>
              <w:t>分；</w:t>
            </w:r>
          </w:p>
          <w:p w14:paraId="0FD670AD">
            <w:pPr>
              <w:pStyle w:val="8"/>
              <w:rPr>
                <w:rFonts w:hint="eastAsia"/>
                <w:color w:val="auto"/>
                <w:highlight w:val="none"/>
              </w:rPr>
            </w:pPr>
            <w:r>
              <w:rPr>
                <w:rFonts w:hint="eastAsia"/>
                <w:color w:val="auto"/>
                <w:highlight w:val="none"/>
              </w:rPr>
              <w:t>评审依据：</w:t>
            </w:r>
          </w:p>
          <w:p w14:paraId="0FB6B3D4">
            <w:pPr>
              <w:pStyle w:val="8"/>
              <w:rPr>
                <w:rFonts w:hint="eastAsia"/>
                <w:highlight w:val="none"/>
              </w:rPr>
            </w:pPr>
            <w:r>
              <w:rPr>
                <w:rFonts w:hint="eastAsia"/>
                <w:color w:val="auto"/>
                <w:highlight w:val="none"/>
                <w:lang w:val="en-US" w:eastAsia="zh-CN"/>
              </w:rPr>
              <w:t>1.</w:t>
            </w:r>
            <w:r>
              <w:rPr>
                <w:rFonts w:hint="eastAsia"/>
                <w:color w:val="auto"/>
                <w:highlight w:val="none"/>
              </w:rPr>
              <w:t>ISO9001质量管理体系</w:t>
            </w:r>
            <w:r>
              <w:rPr>
                <w:rFonts w:hint="eastAsia"/>
                <w:color w:val="auto"/>
                <w:highlight w:val="none"/>
                <w:lang w:val="en-US" w:eastAsia="zh-CN"/>
              </w:rPr>
              <w:t>认证</w:t>
            </w:r>
            <w:r>
              <w:rPr>
                <w:rFonts w:hint="eastAsia"/>
                <w:highlight w:val="none"/>
              </w:rPr>
              <w:t>须提供全国认证认可公共服务平台（cx.cnca.cn）官网有效查询截图并加盖公章，证书在</w:t>
            </w:r>
            <w:r>
              <w:rPr>
                <w:rFonts w:hint="eastAsia"/>
                <w:highlight w:val="none"/>
                <w:lang w:val="en-US" w:eastAsia="zh-CN"/>
              </w:rPr>
              <w:t>报价</w:t>
            </w:r>
            <w:r>
              <w:rPr>
                <w:rFonts w:hint="eastAsia"/>
                <w:highlight w:val="none"/>
              </w:rPr>
              <w:t>有效期内且认证范围包含软件开发 / 信息技术服务相关范畴。</w:t>
            </w:r>
          </w:p>
          <w:p w14:paraId="4A892F57">
            <w:pPr>
              <w:pStyle w:val="8"/>
              <w:rPr>
                <w:rFonts w:hint="default" w:eastAsiaTheme="minorEastAsia"/>
                <w:highlight w:val="none"/>
                <w:lang w:val="en-US" w:eastAsia="zh-CN"/>
              </w:rPr>
            </w:pPr>
            <w:r>
              <w:rPr>
                <w:rFonts w:hint="eastAsia"/>
                <w:highlight w:val="none"/>
                <w:lang w:val="en-US" w:eastAsia="zh-CN"/>
              </w:rPr>
              <w:t>2.报价时提供</w:t>
            </w:r>
            <w:r>
              <w:rPr>
                <w:rFonts w:hint="eastAsia"/>
                <w:color w:val="auto"/>
                <w:highlight w:val="none"/>
              </w:rPr>
              <w:t>软件著作权登记证书</w:t>
            </w:r>
            <w:r>
              <w:rPr>
                <w:rFonts w:hint="eastAsia"/>
                <w:color w:val="auto"/>
                <w:highlight w:val="none"/>
                <w:lang w:val="en-US" w:eastAsia="zh-CN"/>
              </w:rPr>
              <w:t>清晰复印件并加盖公章，证书</w:t>
            </w:r>
            <w:r>
              <w:rPr>
                <w:rFonts w:hint="eastAsia"/>
                <w:color w:val="auto"/>
                <w:highlight w:val="none"/>
                <w:lang w:eastAsia="zh-CN"/>
              </w:rPr>
              <w:t>名称与本次开发系统</w:t>
            </w:r>
            <w:r>
              <w:rPr>
                <w:rFonts w:hint="eastAsia"/>
                <w:highlight w:val="none"/>
              </w:rPr>
              <w:t>直接相关的核心技术领域</w:t>
            </w:r>
            <w:r>
              <w:rPr>
                <w:rFonts w:hint="eastAsia"/>
                <w:color w:val="auto"/>
                <w:highlight w:val="none"/>
                <w:lang w:eastAsia="zh-CN"/>
              </w:rPr>
              <w:t>相近。</w:t>
            </w:r>
          </w:p>
        </w:tc>
        <w:tc>
          <w:tcPr>
            <w:tcW w:w="723" w:type="dxa"/>
            <w:tcBorders>
              <w:top w:val="single" w:color="auto" w:sz="4" w:space="0"/>
              <w:left w:val="single" w:color="auto" w:sz="4" w:space="0"/>
              <w:bottom w:val="single" w:color="auto" w:sz="4" w:space="0"/>
              <w:right w:val="single" w:color="auto" w:sz="4" w:space="0"/>
            </w:tcBorders>
          </w:tcPr>
          <w:p w14:paraId="1B319356">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6</w:t>
            </w:r>
            <w:r>
              <w:rPr>
                <w:rFonts w:hint="eastAsia" w:ascii="宋体" w:hAnsi="宋体" w:eastAsia="宋体" w:cs="宋体"/>
                <w:color w:val="auto"/>
                <w:szCs w:val="21"/>
                <w:highlight w:val="none"/>
              </w:rPr>
              <w:t>分</w:t>
            </w:r>
          </w:p>
        </w:tc>
      </w:tr>
      <w:tr w14:paraId="5638AE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5" w:hRule="atLeast"/>
        </w:trPr>
        <w:tc>
          <w:tcPr>
            <w:tcW w:w="250" w:type="dxa"/>
            <w:tcBorders>
              <w:left w:val="single" w:color="auto" w:sz="4" w:space="0"/>
              <w:right w:val="single" w:color="auto" w:sz="4" w:space="0"/>
            </w:tcBorders>
          </w:tcPr>
          <w:p w14:paraId="1F31D175">
            <w:pPr>
              <w:pStyle w:val="33"/>
              <w:adjustRightInd/>
              <w:spacing w:before="0" w:after="0" w:line="360" w:lineRule="auto"/>
              <w:rPr>
                <w:rFonts w:hint="eastAsia" w:ascii="宋体" w:hAnsi="宋体" w:eastAsia="宋体" w:cs="宋体"/>
                <w:b w:val="0"/>
                <w:bCs w:val="0"/>
                <w:color w:val="auto"/>
                <w:kern w:val="2"/>
                <w:sz w:val="21"/>
                <w:szCs w:val="21"/>
                <w:highlight w:val="green"/>
              </w:rPr>
            </w:pPr>
          </w:p>
        </w:tc>
        <w:tc>
          <w:tcPr>
            <w:tcW w:w="900" w:type="dxa"/>
            <w:tcBorders>
              <w:left w:val="single" w:color="auto" w:sz="4" w:space="0"/>
              <w:right w:val="single" w:color="auto" w:sz="4" w:space="0"/>
            </w:tcBorders>
          </w:tcPr>
          <w:p w14:paraId="7BB9309A">
            <w:pPr>
              <w:pStyle w:val="33"/>
              <w:adjustRightInd/>
              <w:spacing w:before="0" w:after="0" w:line="360" w:lineRule="auto"/>
              <w:rPr>
                <w:rFonts w:hint="eastAsia" w:ascii="宋体" w:hAnsi="宋体" w:eastAsia="宋体" w:cs="宋体"/>
                <w:b w:val="0"/>
                <w:bCs w:val="0"/>
                <w:color w:val="auto"/>
                <w:kern w:val="2"/>
                <w:sz w:val="21"/>
                <w:szCs w:val="21"/>
                <w:highlight w:val="none"/>
              </w:rPr>
            </w:pPr>
          </w:p>
        </w:tc>
        <w:tc>
          <w:tcPr>
            <w:tcW w:w="960" w:type="dxa"/>
            <w:tcBorders>
              <w:top w:val="single" w:color="auto" w:sz="4" w:space="0"/>
              <w:left w:val="single" w:color="auto" w:sz="4" w:space="0"/>
              <w:right w:val="single" w:color="auto" w:sz="4" w:space="0"/>
            </w:tcBorders>
          </w:tcPr>
          <w:p w14:paraId="186DD4E4">
            <w:pPr>
              <w:spacing w:line="360" w:lineRule="auto"/>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项目</w:t>
            </w:r>
            <w:r>
              <w:rPr>
                <w:rFonts w:hint="eastAsia" w:ascii="宋体" w:hAnsi="宋体" w:eastAsia="宋体" w:cs="宋体"/>
                <w:b w:val="0"/>
                <w:bCs w:val="0"/>
                <w:color w:val="auto"/>
                <w:sz w:val="21"/>
                <w:szCs w:val="21"/>
                <w:highlight w:val="none"/>
                <w:lang w:val="en-US" w:eastAsia="zh-CN"/>
              </w:rPr>
              <w:t>开发</w:t>
            </w:r>
            <w:r>
              <w:rPr>
                <w:rFonts w:hint="eastAsia" w:ascii="宋体" w:hAnsi="宋体" w:eastAsia="宋体" w:cs="宋体"/>
                <w:b w:val="0"/>
                <w:bCs w:val="0"/>
                <w:color w:val="auto"/>
                <w:sz w:val="21"/>
                <w:szCs w:val="21"/>
                <w:highlight w:val="none"/>
              </w:rPr>
              <w:t>团队人员实力</w:t>
            </w:r>
          </w:p>
        </w:tc>
        <w:tc>
          <w:tcPr>
            <w:tcW w:w="6986" w:type="dxa"/>
            <w:tcBorders>
              <w:top w:val="single" w:color="auto" w:sz="4" w:space="0"/>
              <w:left w:val="single" w:color="auto" w:sz="4" w:space="0"/>
              <w:bottom w:val="single" w:color="auto" w:sz="4" w:space="0"/>
              <w:right w:val="single" w:color="auto" w:sz="4" w:space="0"/>
            </w:tcBorders>
          </w:tcPr>
          <w:p w14:paraId="2C11BC32">
            <w:pPr>
              <w:pStyle w:val="8"/>
              <w:rPr>
                <w:rFonts w:hint="eastAsia"/>
                <w:color w:val="auto"/>
                <w:highlight w:val="none"/>
              </w:rPr>
            </w:pPr>
            <w:r>
              <w:rPr>
                <w:rFonts w:hint="eastAsia"/>
                <w:color w:val="auto"/>
                <w:highlight w:val="none"/>
              </w:rPr>
              <w:t>1.项目经理：具备软件设计师/信息系统项目管理师及以上证书，得1分；</w:t>
            </w:r>
          </w:p>
          <w:p w14:paraId="0A80726A">
            <w:pPr>
              <w:pStyle w:val="8"/>
              <w:rPr>
                <w:rFonts w:hint="eastAsia"/>
                <w:color w:val="auto"/>
                <w:highlight w:val="none"/>
              </w:rPr>
            </w:pPr>
            <w:r>
              <w:rPr>
                <w:rFonts w:hint="eastAsia"/>
                <w:color w:val="auto"/>
                <w:highlight w:val="none"/>
              </w:rPr>
              <w:t>2.技术负责人：软件设计师/信息系统分析师/网络安全工程师中级及以上证书，得1分；</w:t>
            </w:r>
          </w:p>
          <w:p w14:paraId="68EB43A7">
            <w:pPr>
              <w:pStyle w:val="8"/>
              <w:rPr>
                <w:rFonts w:hint="eastAsia"/>
                <w:b/>
                <w:bCs/>
                <w:color w:val="auto"/>
                <w:highlight w:val="none"/>
                <w:lang w:val="en-US" w:eastAsia="zh-CN"/>
              </w:rPr>
            </w:pPr>
            <w:r>
              <w:rPr>
                <w:rFonts w:hint="eastAsia"/>
                <w:b/>
                <w:bCs/>
                <w:color w:val="auto"/>
                <w:highlight w:val="none"/>
              </w:rPr>
              <w:t>评审依据：</w:t>
            </w:r>
            <w:r>
              <w:rPr>
                <w:rFonts w:hint="eastAsia"/>
                <w:b/>
                <w:bCs/>
                <w:color w:val="auto"/>
                <w:highlight w:val="none"/>
                <w:lang w:val="en-US" w:eastAsia="zh-CN"/>
              </w:rPr>
              <w:t>1.提供由人力资源和社会保障部‌与‌工业和信息化部‌联合颁发的清晰有效</w:t>
            </w:r>
            <w:r>
              <w:rPr>
                <w:rFonts w:hint="eastAsia"/>
                <w:b/>
                <w:bCs/>
                <w:color w:val="auto"/>
                <w:highlight w:val="none"/>
              </w:rPr>
              <w:t>证书复印件</w:t>
            </w:r>
            <w:r>
              <w:rPr>
                <w:rFonts w:hint="eastAsia"/>
                <w:b/>
                <w:bCs/>
                <w:color w:val="auto"/>
                <w:highlight w:val="none"/>
                <w:lang w:val="en-US" w:eastAsia="zh-CN"/>
              </w:rPr>
              <w:t>并加盖公章；</w:t>
            </w:r>
          </w:p>
          <w:p w14:paraId="5ADBF56C">
            <w:pPr>
              <w:pStyle w:val="8"/>
              <w:numPr>
                <w:ilvl w:val="0"/>
                <w:numId w:val="22"/>
              </w:numPr>
              <w:ind w:left="0" w:leftChars="0" w:firstLine="0" w:firstLineChars="0"/>
              <w:rPr>
                <w:rFonts w:hint="eastAsia"/>
                <w:color w:val="auto"/>
                <w:highlight w:val="none"/>
              </w:rPr>
            </w:pPr>
            <w:r>
              <w:rPr>
                <w:rFonts w:hint="eastAsia"/>
                <w:b/>
                <w:bCs/>
                <w:color w:val="auto"/>
                <w:highlight w:val="none"/>
                <w:lang w:val="en-US" w:eastAsia="zh-CN"/>
              </w:rPr>
              <w:t>提供截止报价之日前连续3个月在报价单位社保证明文件复印件并加盖公章。</w:t>
            </w:r>
          </w:p>
        </w:tc>
        <w:tc>
          <w:tcPr>
            <w:tcW w:w="723" w:type="dxa"/>
            <w:tcBorders>
              <w:top w:val="single" w:color="auto" w:sz="4" w:space="0"/>
              <w:left w:val="single" w:color="auto" w:sz="4" w:space="0"/>
              <w:bottom w:val="single" w:color="auto" w:sz="4" w:space="0"/>
              <w:right w:val="single" w:color="auto" w:sz="4" w:space="0"/>
            </w:tcBorders>
          </w:tcPr>
          <w:p w14:paraId="1DDD852E">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2</w:t>
            </w:r>
            <w:r>
              <w:rPr>
                <w:rFonts w:hint="eastAsia" w:ascii="宋体" w:hAnsi="宋体" w:eastAsia="宋体" w:cs="宋体"/>
                <w:color w:val="auto"/>
                <w:szCs w:val="21"/>
                <w:highlight w:val="none"/>
              </w:rPr>
              <w:t>分</w:t>
            </w:r>
          </w:p>
        </w:tc>
      </w:tr>
      <w:tr w14:paraId="5E5351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5" w:hRule="atLeast"/>
        </w:trPr>
        <w:tc>
          <w:tcPr>
            <w:tcW w:w="250" w:type="dxa"/>
            <w:tcBorders>
              <w:left w:val="single" w:color="auto" w:sz="4" w:space="0"/>
              <w:right w:val="single" w:color="auto" w:sz="4" w:space="0"/>
            </w:tcBorders>
          </w:tcPr>
          <w:p w14:paraId="4F9D76AF">
            <w:pPr>
              <w:pStyle w:val="33"/>
              <w:adjustRightInd/>
              <w:spacing w:before="0" w:after="0" w:line="360" w:lineRule="auto"/>
              <w:rPr>
                <w:rFonts w:hint="eastAsia" w:ascii="宋体" w:hAnsi="宋体" w:eastAsia="宋体" w:cs="宋体"/>
                <w:b w:val="0"/>
                <w:bCs w:val="0"/>
                <w:color w:val="auto"/>
                <w:kern w:val="2"/>
                <w:sz w:val="21"/>
                <w:szCs w:val="21"/>
                <w:highlight w:val="green"/>
              </w:rPr>
            </w:pPr>
          </w:p>
        </w:tc>
        <w:tc>
          <w:tcPr>
            <w:tcW w:w="900" w:type="dxa"/>
            <w:tcBorders>
              <w:left w:val="single" w:color="auto" w:sz="4" w:space="0"/>
              <w:right w:val="single" w:color="auto" w:sz="4" w:space="0"/>
            </w:tcBorders>
          </w:tcPr>
          <w:p w14:paraId="139F7BD6">
            <w:pPr>
              <w:pStyle w:val="33"/>
              <w:adjustRightInd/>
              <w:spacing w:before="0" w:after="0" w:line="360" w:lineRule="auto"/>
              <w:rPr>
                <w:rFonts w:hint="eastAsia" w:ascii="宋体" w:hAnsi="宋体" w:eastAsia="宋体" w:cs="宋体"/>
                <w:b w:val="0"/>
                <w:bCs w:val="0"/>
                <w:color w:val="auto"/>
                <w:kern w:val="2"/>
                <w:sz w:val="21"/>
                <w:szCs w:val="21"/>
                <w:highlight w:val="green"/>
              </w:rPr>
            </w:pPr>
          </w:p>
        </w:tc>
        <w:tc>
          <w:tcPr>
            <w:tcW w:w="960" w:type="dxa"/>
            <w:tcBorders>
              <w:top w:val="single" w:color="auto" w:sz="4" w:space="0"/>
              <w:left w:val="single" w:color="auto" w:sz="4" w:space="0"/>
              <w:right w:val="single" w:color="auto" w:sz="4" w:space="0"/>
            </w:tcBorders>
          </w:tcPr>
          <w:p w14:paraId="248766F3">
            <w:pPr>
              <w:spacing w:line="360" w:lineRule="auto"/>
              <w:jc w:val="left"/>
              <w:rPr>
                <w:rFonts w:hint="eastAsia" w:ascii="宋体" w:hAnsi="宋体" w:eastAsia="宋体" w:cs="宋体"/>
                <w:b w:val="0"/>
                <w:bCs w:val="0"/>
                <w:color w:val="auto"/>
                <w:sz w:val="21"/>
                <w:szCs w:val="21"/>
                <w:highlight w:val="green"/>
              </w:rPr>
            </w:pPr>
            <w:r>
              <w:rPr>
                <w:rFonts w:hint="eastAsia" w:ascii="宋体" w:hAnsi="宋体" w:eastAsia="宋体" w:cs="宋体"/>
                <w:b w:val="0"/>
                <w:bCs w:val="0"/>
                <w:color w:val="auto"/>
                <w:sz w:val="21"/>
                <w:szCs w:val="21"/>
                <w:highlight w:val="none"/>
              </w:rPr>
              <w:t>售后服务与质保承诺</w:t>
            </w:r>
          </w:p>
        </w:tc>
        <w:tc>
          <w:tcPr>
            <w:tcW w:w="6986" w:type="dxa"/>
            <w:tcBorders>
              <w:top w:val="single" w:color="auto" w:sz="4" w:space="0"/>
              <w:left w:val="single" w:color="auto" w:sz="4" w:space="0"/>
              <w:bottom w:val="single" w:color="auto" w:sz="4" w:space="0"/>
              <w:right w:val="single" w:color="auto" w:sz="4" w:space="0"/>
            </w:tcBorders>
          </w:tcPr>
          <w:p w14:paraId="0B2229DF">
            <w:pPr>
              <w:pStyle w:val="8"/>
              <w:rPr>
                <w:rFonts w:hint="eastAsia"/>
                <w:color w:val="auto"/>
                <w:highlight w:val="none"/>
              </w:rPr>
            </w:pPr>
            <w:r>
              <w:rPr>
                <w:rFonts w:hint="eastAsia"/>
                <w:color w:val="auto"/>
                <w:highlight w:val="none"/>
              </w:rPr>
              <w:t>一档（15分）：</w:t>
            </w:r>
            <w:r>
              <w:rPr>
                <w:rFonts w:hint="eastAsia"/>
                <w:color w:val="auto"/>
                <w:highlight w:val="none"/>
                <w:lang w:eastAsia="zh-CN"/>
              </w:rPr>
              <w:t>在</w:t>
            </w:r>
            <w:r>
              <w:rPr>
                <w:rFonts w:hint="eastAsia"/>
                <w:color w:val="auto"/>
                <w:highlight w:val="none"/>
                <w:lang w:val="en-US" w:eastAsia="zh-CN"/>
              </w:rPr>
              <w:t>满足第二挡的基础上，</w:t>
            </w:r>
            <w:r>
              <w:rPr>
                <w:rFonts w:hint="eastAsia"/>
                <w:color w:val="auto"/>
                <w:highlight w:val="none"/>
              </w:rPr>
              <w:t>售后服务方案细致完善可行，整体方案对采购人有实际性帮助；</w:t>
            </w:r>
            <w:r>
              <w:rPr>
                <w:rFonts w:hint="eastAsia"/>
                <w:color w:val="auto"/>
                <w:highlight w:val="none"/>
                <w:lang w:val="en-US" w:eastAsia="zh-CN"/>
              </w:rPr>
              <w:t>报价</w:t>
            </w:r>
            <w:r>
              <w:rPr>
                <w:rFonts w:hint="eastAsia"/>
                <w:color w:val="auto"/>
                <w:highlight w:val="none"/>
              </w:rPr>
              <w:t>人所提供的项目服务方案完整可行，售后服务成体系（含技术咨询、缺陷修复、版本更新迭代方案，故障响应与处理规范，故障解决方案，以及故障应急响应方案等），服务承诺、维护保障方式、售后保障能力及后期支持措施等完善、可行，针对性、可行性强，明确定期维护与定期回访（时间）；提供有针对性的技术培训方案，并提供日常的技术咨询与技术支持；提供售后服务措施细致、周到，维保人员配置合理（须注明：未经采购人同意，不得随意更换维保人员，如质保期间维保人员离职，代替者资质、能力不得低于投标文件承诺）；整体上资料详细完备，服务承诺和保障措施考虑周全完整详细；承诺免费质保≥36个月；7×24小时专属运维热线；故障响应时效优于招标文件需求；终身免费技术咨询，质保期满后的延伸服务方案优惠力度大；保密、数据安全售后保障措施完善，是投标文件中最优方案。</w:t>
            </w:r>
          </w:p>
          <w:p w14:paraId="7C154F00">
            <w:pPr>
              <w:pStyle w:val="8"/>
              <w:rPr>
                <w:rFonts w:hint="eastAsia"/>
                <w:color w:val="auto"/>
                <w:highlight w:val="none"/>
              </w:rPr>
            </w:pPr>
            <w:r>
              <w:rPr>
                <w:rFonts w:hint="eastAsia"/>
                <w:color w:val="auto"/>
                <w:highlight w:val="none"/>
              </w:rPr>
              <w:t>二档（10分）：</w:t>
            </w:r>
            <w:r>
              <w:rPr>
                <w:rFonts w:hint="eastAsia"/>
                <w:color w:val="auto"/>
                <w:highlight w:val="none"/>
                <w:lang w:eastAsia="zh-CN"/>
              </w:rPr>
              <w:t>在</w:t>
            </w:r>
            <w:r>
              <w:rPr>
                <w:rFonts w:hint="eastAsia"/>
                <w:color w:val="auto"/>
                <w:highlight w:val="none"/>
                <w:lang w:val="en-US" w:eastAsia="zh-CN"/>
              </w:rPr>
              <w:t>满足第三挡的基础上，</w:t>
            </w:r>
            <w:r>
              <w:rPr>
                <w:rFonts w:hint="eastAsia"/>
                <w:color w:val="auto"/>
                <w:highlight w:val="none"/>
              </w:rPr>
              <w:t>有较为完善的技术培训方案；售后维护方案各项措施较为完备，故障响应时间优于</w:t>
            </w:r>
            <w:r>
              <w:rPr>
                <w:rFonts w:hint="eastAsia"/>
                <w:color w:val="auto"/>
                <w:highlight w:val="none"/>
                <w:lang w:val="en-US" w:eastAsia="zh-CN"/>
              </w:rPr>
              <w:t>报价</w:t>
            </w:r>
            <w:r>
              <w:rPr>
                <w:rFonts w:hint="eastAsia"/>
                <w:color w:val="auto"/>
                <w:highlight w:val="none"/>
              </w:rPr>
              <w:t>文件需求；售后服务保障方案较完善，对于联系与报修手段、人员的安排、技术人员资质等方面有较为明确的安排，方案可行且较详细，基础售后服务措施齐全，提供质保期满后的延伸服务方案，能较好满足采购需求，符合实际，质保期≥24个月。</w:t>
            </w:r>
          </w:p>
          <w:p w14:paraId="5E9E3E26">
            <w:pPr>
              <w:pStyle w:val="8"/>
              <w:rPr>
                <w:rFonts w:hint="eastAsia"/>
                <w:color w:val="auto"/>
                <w:highlight w:val="green"/>
              </w:rPr>
            </w:pPr>
            <w:r>
              <w:rPr>
                <w:rFonts w:hint="eastAsia"/>
                <w:color w:val="auto"/>
                <w:highlight w:val="none"/>
              </w:rPr>
              <w:t>三档（5分）：有技术培训方案、售后维护与售后服务保障方案，无增值服务承诺，各方案简略，对于具体实施描述不足，方案针对性、可行性一般，仅满足</w:t>
            </w:r>
            <w:r>
              <w:rPr>
                <w:rFonts w:hint="eastAsia"/>
                <w:color w:val="auto"/>
                <w:highlight w:val="none"/>
                <w:lang w:val="en-US" w:eastAsia="zh-CN"/>
              </w:rPr>
              <w:t>报价</w:t>
            </w:r>
            <w:r>
              <w:rPr>
                <w:rFonts w:hint="eastAsia"/>
                <w:color w:val="auto"/>
                <w:highlight w:val="none"/>
              </w:rPr>
              <w:t>文件最低12个月质保</w:t>
            </w:r>
            <w:r>
              <w:rPr>
                <w:rFonts w:hint="eastAsia"/>
                <w:color w:val="auto"/>
                <w:highlight w:val="none"/>
                <w:lang w:val="en-US" w:eastAsia="zh-CN"/>
              </w:rPr>
              <w:t>及故障响应时间要求</w:t>
            </w:r>
            <w:r>
              <w:rPr>
                <w:rFonts w:hint="eastAsia"/>
                <w:color w:val="auto"/>
                <w:highlight w:val="none"/>
              </w:rPr>
              <w:t>。</w:t>
            </w:r>
          </w:p>
        </w:tc>
        <w:tc>
          <w:tcPr>
            <w:tcW w:w="723" w:type="dxa"/>
            <w:tcBorders>
              <w:top w:val="single" w:color="auto" w:sz="4" w:space="0"/>
              <w:left w:val="single" w:color="auto" w:sz="4" w:space="0"/>
              <w:bottom w:val="single" w:color="auto" w:sz="4" w:space="0"/>
              <w:right w:val="single" w:color="auto" w:sz="4" w:space="0"/>
            </w:tcBorders>
          </w:tcPr>
          <w:p w14:paraId="5295D2DF">
            <w:pPr>
              <w:spacing w:line="360" w:lineRule="auto"/>
              <w:rPr>
                <w:rFonts w:hint="eastAsia" w:ascii="宋体" w:hAnsi="宋体" w:eastAsia="宋体" w:cs="宋体"/>
                <w:b/>
                <w:color w:val="auto"/>
                <w:szCs w:val="21"/>
                <w:highlight w:val="green"/>
              </w:rPr>
            </w:pPr>
            <w:r>
              <w:rPr>
                <w:rFonts w:hint="eastAsia" w:ascii="宋体" w:hAnsi="宋体" w:eastAsia="宋体" w:cs="宋体"/>
                <w:b/>
                <w:color w:val="auto"/>
                <w:szCs w:val="21"/>
                <w:highlight w:val="none"/>
                <w:lang w:val="en-US" w:eastAsia="zh-CN"/>
              </w:rPr>
              <w:t>15</w:t>
            </w:r>
            <w:r>
              <w:rPr>
                <w:rFonts w:hint="eastAsia" w:ascii="宋体" w:hAnsi="宋体" w:eastAsia="宋体" w:cs="宋体"/>
                <w:color w:val="auto"/>
                <w:szCs w:val="21"/>
                <w:highlight w:val="none"/>
              </w:rPr>
              <w:t>分</w:t>
            </w:r>
          </w:p>
        </w:tc>
      </w:tr>
      <w:tr w14:paraId="5512AF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6" w:hRule="atLeast"/>
        </w:trPr>
        <w:tc>
          <w:tcPr>
            <w:tcW w:w="9819" w:type="dxa"/>
            <w:gridSpan w:val="5"/>
            <w:tcBorders>
              <w:top w:val="single" w:color="auto" w:sz="4" w:space="0"/>
              <w:left w:val="single" w:color="auto" w:sz="4" w:space="0"/>
              <w:right w:val="single" w:color="auto" w:sz="4" w:space="0"/>
            </w:tcBorders>
          </w:tcPr>
          <w:p w14:paraId="0D500331">
            <w:pPr>
              <w:spacing w:line="360" w:lineRule="auto"/>
              <w:jc w:val="left"/>
              <w:rPr>
                <w:rFonts w:hint="default" w:ascii="宋体" w:hAnsi="宋体" w:eastAsiaTheme="minorEastAsia"/>
                <w:color w:val="auto"/>
                <w:szCs w:val="21"/>
                <w:highlight w:val="green"/>
                <w:lang w:val="en-US" w:eastAsia="zh-CN"/>
              </w:rPr>
            </w:pPr>
            <w:r>
              <w:rPr>
                <w:rFonts w:hint="eastAsia" w:ascii="宋体" w:hAnsi="宋体"/>
                <w:color w:val="auto"/>
                <w:szCs w:val="21"/>
                <w:highlight w:val="none"/>
                <w:lang w:val="en-US" w:eastAsia="zh-CN"/>
              </w:rPr>
              <w:t>1+2+3</w:t>
            </w:r>
            <w:r>
              <w:rPr>
                <w:rFonts w:hint="eastAsia" w:ascii="宋体" w:hAnsi="宋体"/>
                <w:color w:val="auto"/>
                <w:szCs w:val="21"/>
                <w:highlight w:val="none"/>
              </w:rPr>
              <w:t>=</w:t>
            </w:r>
            <w:r>
              <w:rPr>
                <w:rFonts w:hint="eastAsia" w:ascii="宋体" w:hAnsi="宋体"/>
                <w:color w:val="auto"/>
                <w:szCs w:val="21"/>
                <w:highlight w:val="none"/>
                <w:lang w:val="en-US" w:eastAsia="zh-CN"/>
              </w:rPr>
              <w:t>100分</w:t>
            </w:r>
          </w:p>
        </w:tc>
      </w:tr>
    </w:tbl>
    <w:p w14:paraId="2E1C42EC">
      <w:pPr>
        <w:pStyle w:val="8"/>
        <w:spacing w:line="360" w:lineRule="auto"/>
        <w:rPr>
          <w:rFonts w:hint="eastAsia" w:asciiTheme="minorEastAsia" w:hAnsiTheme="minorEastAsia" w:cstheme="minorEastAsia"/>
        </w:rPr>
      </w:pPr>
    </w:p>
    <w:p w14:paraId="3557A6D6">
      <w:pPr>
        <w:pStyle w:val="8"/>
      </w:pPr>
    </w:p>
    <w:p w14:paraId="7550BCB1">
      <w:pPr>
        <w:pStyle w:val="8"/>
      </w:pPr>
    </w:p>
    <w:p w14:paraId="118BAD56">
      <w:pPr>
        <w:pStyle w:val="8"/>
      </w:pPr>
    </w:p>
    <w:p w14:paraId="4D4F9484">
      <w:pPr>
        <w:pStyle w:val="8"/>
        <w:jc w:val="center"/>
        <w:rPr>
          <w:rFonts w:hint="eastAsia"/>
          <w:b/>
          <w:sz w:val="56"/>
          <w:szCs w:val="48"/>
        </w:rPr>
      </w:pPr>
      <w:r>
        <w:rPr>
          <w:rFonts w:hint="eastAsia"/>
          <w:b/>
          <w:sz w:val="52"/>
          <w:szCs w:val="44"/>
        </w:rPr>
        <w:t xml:space="preserve"> </w:t>
      </w:r>
      <w:r>
        <w:rPr>
          <w:rFonts w:hint="eastAsia"/>
          <w:b/>
          <w:sz w:val="56"/>
          <w:szCs w:val="48"/>
        </w:rPr>
        <w:t>报价文件格式</w:t>
      </w:r>
    </w:p>
    <w:p w14:paraId="060AE986">
      <w:pPr>
        <w:pStyle w:val="8"/>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8"/>
        <w:jc w:val="center"/>
        <w:rPr>
          <w:b/>
          <w:sz w:val="44"/>
          <w:szCs w:val="36"/>
        </w:rPr>
      </w:pPr>
    </w:p>
    <w:p w14:paraId="02D476A6">
      <w:pPr>
        <w:pStyle w:val="8"/>
        <w:jc w:val="center"/>
        <w:rPr>
          <w:b/>
          <w:sz w:val="44"/>
          <w:szCs w:val="36"/>
        </w:rPr>
      </w:pPr>
    </w:p>
    <w:p w14:paraId="49BF47B9">
      <w:pPr>
        <w:pStyle w:val="8"/>
        <w:jc w:val="center"/>
        <w:rPr>
          <w:b/>
          <w:sz w:val="44"/>
          <w:szCs w:val="36"/>
        </w:rPr>
      </w:pPr>
    </w:p>
    <w:p w14:paraId="5394164E">
      <w:pPr>
        <w:pStyle w:val="8"/>
        <w:jc w:val="center"/>
        <w:rPr>
          <w:b/>
          <w:sz w:val="44"/>
          <w:szCs w:val="36"/>
        </w:rPr>
      </w:pPr>
    </w:p>
    <w:p w14:paraId="4570D53B">
      <w:pPr>
        <w:pStyle w:val="8"/>
        <w:jc w:val="center"/>
        <w:rPr>
          <w:b/>
          <w:sz w:val="44"/>
          <w:szCs w:val="36"/>
        </w:rPr>
      </w:pPr>
    </w:p>
    <w:p w14:paraId="25392A60">
      <w:pPr>
        <w:pStyle w:val="8"/>
        <w:jc w:val="center"/>
        <w:rPr>
          <w:b/>
          <w:sz w:val="44"/>
          <w:szCs w:val="36"/>
        </w:rPr>
      </w:pPr>
    </w:p>
    <w:p w14:paraId="49A58C04">
      <w:pPr>
        <w:pStyle w:val="8"/>
        <w:jc w:val="center"/>
        <w:rPr>
          <w:b/>
          <w:sz w:val="44"/>
          <w:szCs w:val="36"/>
        </w:rPr>
      </w:pPr>
    </w:p>
    <w:p w14:paraId="17D13CBC">
      <w:pPr>
        <w:pStyle w:val="8"/>
        <w:jc w:val="center"/>
        <w:rPr>
          <w:b/>
          <w:sz w:val="44"/>
          <w:szCs w:val="36"/>
        </w:rPr>
      </w:pPr>
    </w:p>
    <w:p w14:paraId="1E10EDF3">
      <w:pPr>
        <w:pStyle w:val="8"/>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8"/>
        <w:rPr>
          <w:sz w:val="24"/>
          <w:szCs w:val="24"/>
        </w:rPr>
      </w:pPr>
    </w:p>
    <w:p w14:paraId="12209BF0">
      <w:pPr>
        <w:pStyle w:val="8"/>
        <w:rPr>
          <w:sz w:val="24"/>
          <w:szCs w:val="24"/>
        </w:rPr>
      </w:pPr>
    </w:p>
    <w:p w14:paraId="06FF3462">
      <w:pPr>
        <w:pStyle w:val="8"/>
        <w:rPr>
          <w:sz w:val="24"/>
          <w:szCs w:val="24"/>
        </w:rPr>
      </w:pPr>
    </w:p>
    <w:p w14:paraId="07FBBC3F">
      <w:pPr>
        <w:pStyle w:val="8"/>
        <w:rPr>
          <w:sz w:val="24"/>
          <w:szCs w:val="24"/>
        </w:rPr>
      </w:pPr>
    </w:p>
    <w:p w14:paraId="0AA53577">
      <w:pPr>
        <w:pStyle w:val="8"/>
        <w:rPr>
          <w:sz w:val="24"/>
          <w:szCs w:val="24"/>
        </w:rPr>
      </w:pPr>
    </w:p>
    <w:p w14:paraId="1C137EAD">
      <w:pPr>
        <w:pStyle w:val="8"/>
        <w:rPr>
          <w:sz w:val="24"/>
          <w:szCs w:val="24"/>
        </w:rPr>
      </w:pPr>
    </w:p>
    <w:p w14:paraId="72531295">
      <w:pPr>
        <w:pStyle w:val="8"/>
        <w:rPr>
          <w:sz w:val="24"/>
          <w:szCs w:val="24"/>
        </w:rPr>
      </w:pPr>
    </w:p>
    <w:p w14:paraId="52F4E7BB">
      <w:pPr>
        <w:pStyle w:val="8"/>
        <w:rPr>
          <w:sz w:val="24"/>
          <w:szCs w:val="24"/>
        </w:rPr>
      </w:pPr>
    </w:p>
    <w:p w14:paraId="2C206DBF">
      <w:pPr>
        <w:pStyle w:val="39"/>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8"/>
        <w:rPr>
          <w:sz w:val="24"/>
          <w:szCs w:val="24"/>
        </w:rPr>
      </w:pPr>
    </w:p>
    <w:p w14:paraId="32EB8D36">
      <w:pPr>
        <w:pStyle w:val="8"/>
        <w:rPr>
          <w:sz w:val="24"/>
          <w:szCs w:val="24"/>
        </w:rPr>
      </w:pPr>
    </w:p>
    <w:p w14:paraId="73418218">
      <w:pPr>
        <w:pStyle w:val="8"/>
        <w:rPr>
          <w:sz w:val="24"/>
          <w:szCs w:val="24"/>
        </w:rPr>
      </w:pPr>
    </w:p>
    <w:p w14:paraId="5656109E">
      <w:pPr>
        <w:pStyle w:val="8"/>
        <w:rPr>
          <w:sz w:val="24"/>
          <w:szCs w:val="24"/>
        </w:rPr>
      </w:pPr>
    </w:p>
    <w:p w14:paraId="4B4A401B">
      <w:pPr>
        <w:pStyle w:val="8"/>
        <w:rPr>
          <w:sz w:val="24"/>
          <w:szCs w:val="24"/>
        </w:rPr>
      </w:pPr>
    </w:p>
    <w:p w14:paraId="16E3B375">
      <w:pPr>
        <w:pStyle w:val="8"/>
        <w:rPr>
          <w:sz w:val="24"/>
          <w:szCs w:val="24"/>
        </w:rPr>
      </w:pPr>
    </w:p>
    <w:p w14:paraId="4EB65920">
      <w:pPr>
        <w:pStyle w:val="8"/>
        <w:rPr>
          <w:sz w:val="24"/>
          <w:szCs w:val="24"/>
        </w:rPr>
      </w:pPr>
    </w:p>
    <w:p w14:paraId="7DEE05E4">
      <w:pPr>
        <w:pStyle w:val="8"/>
        <w:rPr>
          <w:sz w:val="24"/>
          <w:szCs w:val="24"/>
        </w:rPr>
      </w:pPr>
    </w:p>
    <w:p w14:paraId="4EDCFDF8">
      <w:pPr>
        <w:pStyle w:val="8"/>
        <w:rPr>
          <w:sz w:val="24"/>
          <w:szCs w:val="24"/>
        </w:rPr>
      </w:pPr>
    </w:p>
    <w:p w14:paraId="1C7FBD22">
      <w:pPr>
        <w:pStyle w:val="8"/>
        <w:rPr>
          <w:sz w:val="24"/>
          <w:szCs w:val="24"/>
        </w:rPr>
      </w:pPr>
    </w:p>
    <w:p w14:paraId="63ABF27E">
      <w:pPr>
        <w:pStyle w:val="8"/>
        <w:rPr>
          <w:sz w:val="24"/>
          <w:szCs w:val="24"/>
        </w:rPr>
      </w:pPr>
    </w:p>
    <w:p w14:paraId="6D3746F4">
      <w:pPr>
        <w:pStyle w:val="8"/>
        <w:rPr>
          <w:sz w:val="24"/>
          <w:szCs w:val="24"/>
        </w:rPr>
      </w:pPr>
    </w:p>
    <w:p w14:paraId="436AA1AB">
      <w:pPr>
        <w:pStyle w:val="8"/>
        <w:rPr>
          <w:sz w:val="24"/>
          <w:szCs w:val="24"/>
        </w:rPr>
      </w:pPr>
    </w:p>
    <w:p w14:paraId="22412CDB">
      <w:pPr>
        <w:pStyle w:val="8"/>
        <w:rPr>
          <w:sz w:val="24"/>
          <w:szCs w:val="24"/>
        </w:rPr>
      </w:pPr>
    </w:p>
    <w:p w14:paraId="024F1B32">
      <w:pPr>
        <w:pStyle w:val="8"/>
        <w:rPr>
          <w:sz w:val="24"/>
          <w:szCs w:val="24"/>
        </w:rPr>
      </w:pPr>
    </w:p>
    <w:p w14:paraId="47EE6EE4">
      <w:pPr>
        <w:pStyle w:val="8"/>
        <w:rPr>
          <w:sz w:val="24"/>
          <w:szCs w:val="24"/>
        </w:rPr>
      </w:pPr>
    </w:p>
    <w:p w14:paraId="0C39A79C">
      <w:pPr>
        <w:pStyle w:val="8"/>
        <w:rPr>
          <w:sz w:val="24"/>
          <w:szCs w:val="24"/>
        </w:rPr>
      </w:pPr>
    </w:p>
    <w:p w14:paraId="18E912AB">
      <w:pPr>
        <w:pStyle w:val="8"/>
        <w:rPr>
          <w:sz w:val="24"/>
          <w:szCs w:val="24"/>
        </w:rPr>
      </w:pPr>
    </w:p>
    <w:p w14:paraId="2D6CEE59">
      <w:pPr>
        <w:pStyle w:val="8"/>
        <w:rPr>
          <w:sz w:val="24"/>
          <w:szCs w:val="24"/>
        </w:rPr>
      </w:pPr>
    </w:p>
    <w:p w14:paraId="2DACB372">
      <w:pPr>
        <w:pStyle w:val="8"/>
        <w:rPr>
          <w:sz w:val="24"/>
          <w:szCs w:val="24"/>
        </w:rPr>
      </w:pPr>
    </w:p>
    <w:p w14:paraId="31ECB35F">
      <w:pPr>
        <w:pStyle w:val="8"/>
        <w:rPr>
          <w:sz w:val="24"/>
          <w:szCs w:val="24"/>
        </w:rPr>
      </w:pPr>
    </w:p>
    <w:p w14:paraId="6BB80F19">
      <w:pPr>
        <w:pStyle w:val="8"/>
        <w:rPr>
          <w:sz w:val="24"/>
          <w:szCs w:val="24"/>
        </w:rPr>
      </w:pPr>
    </w:p>
    <w:p w14:paraId="1BF63744">
      <w:pPr>
        <w:pStyle w:val="8"/>
        <w:rPr>
          <w:sz w:val="24"/>
          <w:szCs w:val="24"/>
        </w:rPr>
      </w:pPr>
    </w:p>
    <w:p w14:paraId="339C0DF6">
      <w:pPr>
        <w:pStyle w:val="8"/>
        <w:rPr>
          <w:sz w:val="24"/>
          <w:szCs w:val="24"/>
        </w:rPr>
      </w:pPr>
    </w:p>
    <w:p w14:paraId="64722392">
      <w:pPr>
        <w:pStyle w:val="8"/>
        <w:rPr>
          <w:sz w:val="24"/>
          <w:szCs w:val="24"/>
        </w:rPr>
      </w:pPr>
    </w:p>
    <w:p w14:paraId="0D9B1A37">
      <w:pPr>
        <w:pStyle w:val="8"/>
        <w:rPr>
          <w:sz w:val="24"/>
          <w:szCs w:val="24"/>
        </w:rPr>
      </w:pPr>
    </w:p>
    <w:p w14:paraId="7ACDC200">
      <w:pPr>
        <w:pStyle w:val="8"/>
        <w:rPr>
          <w:sz w:val="24"/>
          <w:szCs w:val="24"/>
        </w:rPr>
      </w:pPr>
    </w:p>
    <w:p w14:paraId="555BAD77">
      <w:pPr>
        <w:pStyle w:val="8"/>
        <w:rPr>
          <w:sz w:val="24"/>
          <w:szCs w:val="24"/>
        </w:rPr>
      </w:pPr>
    </w:p>
    <w:p w14:paraId="50298D57">
      <w:pPr>
        <w:pStyle w:val="8"/>
        <w:rPr>
          <w:sz w:val="24"/>
          <w:szCs w:val="24"/>
        </w:rPr>
      </w:pPr>
    </w:p>
    <w:p w14:paraId="77C0623A">
      <w:pPr>
        <w:pStyle w:val="8"/>
        <w:rPr>
          <w:sz w:val="24"/>
          <w:szCs w:val="24"/>
        </w:rPr>
      </w:pPr>
    </w:p>
    <w:p w14:paraId="3B1CA22F">
      <w:pPr>
        <w:pStyle w:val="8"/>
        <w:rPr>
          <w:sz w:val="24"/>
          <w:szCs w:val="24"/>
        </w:rPr>
      </w:pPr>
    </w:p>
    <w:p w14:paraId="206EB449">
      <w:pPr>
        <w:pStyle w:val="8"/>
        <w:rPr>
          <w:sz w:val="24"/>
          <w:szCs w:val="24"/>
        </w:rPr>
      </w:pPr>
    </w:p>
    <w:p w14:paraId="1722A923">
      <w:pPr>
        <w:pStyle w:val="8"/>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8"/>
      </w:pPr>
    </w:p>
    <w:p w14:paraId="739584C9">
      <w:pPr>
        <w:pStyle w:val="8"/>
      </w:pPr>
    </w:p>
    <w:p w14:paraId="5C5EC382">
      <w:pPr>
        <w:pStyle w:val="8"/>
      </w:pPr>
    </w:p>
    <w:p w14:paraId="4D1E28EA">
      <w:pPr>
        <w:pStyle w:val="8"/>
      </w:pPr>
    </w:p>
    <w:p w14:paraId="135A2CC1">
      <w:pPr>
        <w:pStyle w:val="8"/>
      </w:pPr>
    </w:p>
    <w:p w14:paraId="4DFC9FDD">
      <w:pPr>
        <w:pStyle w:val="8"/>
      </w:pPr>
    </w:p>
    <w:p w14:paraId="60A282D9">
      <w:pPr>
        <w:pStyle w:val="8"/>
      </w:pPr>
    </w:p>
    <w:p w14:paraId="633D4097">
      <w:pPr>
        <w:pStyle w:val="8"/>
      </w:pPr>
    </w:p>
    <w:p w14:paraId="02E19134">
      <w:pPr>
        <w:pStyle w:val="8"/>
      </w:pPr>
    </w:p>
    <w:p w14:paraId="3BE28DBF">
      <w:pPr>
        <w:pStyle w:val="8"/>
      </w:pPr>
    </w:p>
    <w:p w14:paraId="4D4B07C8">
      <w:pPr>
        <w:pStyle w:val="8"/>
      </w:pPr>
    </w:p>
    <w:p w14:paraId="0683A70F">
      <w:pPr>
        <w:pStyle w:val="8"/>
      </w:pPr>
    </w:p>
    <w:p w14:paraId="58486291">
      <w:pPr>
        <w:pStyle w:val="8"/>
      </w:pPr>
    </w:p>
    <w:p w14:paraId="7EBF38F6">
      <w:pPr>
        <w:pStyle w:val="8"/>
      </w:pPr>
    </w:p>
    <w:p w14:paraId="0DEF85EC">
      <w:pPr>
        <w:pStyle w:val="8"/>
      </w:pPr>
    </w:p>
    <w:p w14:paraId="568AB681">
      <w:pPr>
        <w:pStyle w:val="8"/>
      </w:pPr>
    </w:p>
    <w:p w14:paraId="75CF8CCE">
      <w:pPr>
        <w:pStyle w:val="8"/>
      </w:pPr>
    </w:p>
    <w:p w14:paraId="43B506B2">
      <w:pPr>
        <w:pStyle w:val="8"/>
      </w:pPr>
    </w:p>
    <w:p w14:paraId="47DE2199">
      <w:pPr>
        <w:pStyle w:val="8"/>
      </w:pPr>
    </w:p>
    <w:p w14:paraId="71247007">
      <w:pPr>
        <w:pStyle w:val="8"/>
      </w:pPr>
    </w:p>
    <w:p w14:paraId="0CBD26D6">
      <w:pPr>
        <w:pStyle w:val="8"/>
      </w:pPr>
    </w:p>
    <w:p w14:paraId="10517574">
      <w:pPr>
        <w:pStyle w:val="8"/>
      </w:pPr>
    </w:p>
    <w:p w14:paraId="42AC2D8E">
      <w:pPr>
        <w:pStyle w:val="8"/>
      </w:pPr>
    </w:p>
    <w:p w14:paraId="7578E787">
      <w:pPr>
        <w:pStyle w:val="8"/>
      </w:pPr>
    </w:p>
    <w:p w14:paraId="63A1FEE1">
      <w:pPr>
        <w:pStyle w:val="8"/>
      </w:pPr>
    </w:p>
    <w:p w14:paraId="61FE5F38">
      <w:pPr>
        <w:pStyle w:val="8"/>
      </w:pPr>
    </w:p>
    <w:p w14:paraId="1A8AFCE7">
      <w:pPr>
        <w:pStyle w:val="8"/>
      </w:pPr>
    </w:p>
    <w:p w14:paraId="2008DA94">
      <w:pPr>
        <w:pStyle w:val="8"/>
      </w:pPr>
    </w:p>
    <w:p w14:paraId="3F793452">
      <w:pPr>
        <w:pStyle w:val="8"/>
      </w:pPr>
    </w:p>
    <w:p w14:paraId="10A56257">
      <w:pPr>
        <w:pStyle w:val="8"/>
      </w:pPr>
    </w:p>
    <w:p w14:paraId="6EF51BB8">
      <w:pPr>
        <w:pStyle w:val="8"/>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8"/>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618E503A">
      <w:pPr>
        <w:spacing w:line="360" w:lineRule="auto"/>
        <w:ind w:firstLine="600" w:firstLineChars="200"/>
        <w:contextualSpacing/>
        <w:jc w:val="left"/>
        <w:rPr>
          <w:rFonts w:ascii="宋体" w:hAnsi="Times New Roman" w:eastAsia="仿宋" w:cs="Times New Roman"/>
          <w:b/>
          <w:bCs/>
          <w:kern w:val="0"/>
          <w:sz w:val="30"/>
          <w:szCs w:val="32"/>
        </w:rPr>
      </w:pPr>
      <w:r>
        <w:rPr>
          <w:rFonts w:hint="eastAsia" w:ascii="仿宋" w:hAnsi="仿宋" w:eastAsia="仿宋" w:cs="仿宋_GB2312"/>
          <w:sz w:val="30"/>
          <w:szCs w:val="30"/>
        </w:rPr>
        <w:t>2.法人、其他组织投标时“我方”是指“我单位”，自然人投标时“我方”是指“本人”。</w:t>
      </w:r>
    </w:p>
    <w:p w14:paraId="09E1A88C">
      <w:pPr>
        <w:pStyle w:val="8"/>
      </w:pPr>
    </w:p>
    <w:p w14:paraId="3F5C69F4">
      <w:pPr>
        <w:jc w:val="left"/>
        <w:outlineLvl w:val="1"/>
        <w:rPr>
          <w:rFonts w:hint="eastAsia" w:ascii="仿宋" w:hAnsi="仿宋" w:eastAsia="仿宋" w:cs="Times New Roman"/>
          <w:b/>
          <w:sz w:val="36"/>
          <w:szCs w:val="21"/>
          <w:lang w:val="en-US" w:eastAsia="zh-CN"/>
        </w:rPr>
      </w:pP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33436BC2">
      <w:pPr>
        <w:jc w:val="left"/>
        <w:outlineLvl w:val="1"/>
        <w:rPr>
          <w:rFonts w:hint="eastAsia" w:ascii="仿宋" w:hAnsi="仿宋" w:eastAsia="仿宋" w:cs="Times New Roman"/>
          <w:b/>
          <w:sz w:val="28"/>
          <w:szCs w:val="18"/>
        </w:rPr>
      </w:pPr>
    </w:p>
    <w:p w14:paraId="55491F36">
      <w:pPr>
        <w:jc w:val="left"/>
        <w:outlineLvl w:val="1"/>
        <w:rPr>
          <w:rFonts w:hint="eastAsia" w:ascii="仿宋" w:hAnsi="仿宋" w:eastAsia="仿宋" w:cs="Times New Roman"/>
          <w:b/>
          <w:sz w:val="28"/>
          <w:szCs w:val="18"/>
        </w:rPr>
      </w:pPr>
    </w:p>
    <w:p w14:paraId="25224699">
      <w:pPr>
        <w:jc w:val="left"/>
        <w:outlineLvl w:val="1"/>
        <w:rPr>
          <w:rFonts w:hint="eastAsia" w:ascii="仿宋" w:hAnsi="仿宋" w:eastAsia="仿宋" w:cs="Times New Roman"/>
          <w:b/>
          <w:sz w:val="28"/>
          <w:szCs w:val="18"/>
        </w:rPr>
      </w:pPr>
    </w:p>
    <w:p w14:paraId="3EF89EAE">
      <w:pPr>
        <w:jc w:val="left"/>
        <w:outlineLvl w:val="1"/>
        <w:rPr>
          <w:rFonts w:hint="eastAsia" w:ascii="仿宋" w:hAnsi="仿宋" w:eastAsia="仿宋" w:cs="Times New Roman"/>
          <w:b/>
          <w:sz w:val="28"/>
          <w:szCs w:val="18"/>
        </w:rPr>
      </w:pPr>
    </w:p>
    <w:p w14:paraId="2006D35B">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9"/>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9"/>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242CBF95">
      <w:pPr>
        <w:pStyle w:val="9"/>
        <w:spacing w:line="480" w:lineRule="auto"/>
        <w:ind w:firstLine="600"/>
        <w:jc w:val="right"/>
        <w:rPr>
          <w:rFonts w:ascii="仿宋" w:hAnsi="仿宋" w:eastAsia="仿宋" w:cs="Times New Roman"/>
          <w:b/>
          <w:sz w:val="36"/>
          <w:szCs w:val="21"/>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055910F7">
      <w:pPr>
        <w:pStyle w:val="8"/>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6067EE4">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项目编号：</w:t>
      </w:r>
      <w:r>
        <w:rPr>
          <w:rFonts w:hint="eastAsia" w:ascii="仿宋" w:hAnsi="仿宋" w:eastAsia="仿宋"/>
          <w:sz w:val="30"/>
          <w:szCs w:val="30"/>
          <w:u w:val="single"/>
        </w:rPr>
        <w:t xml:space="preserve">                 </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8"/>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2C4B7AF9">
            <w:pPr>
              <w:pStyle w:val="7"/>
              <w:numPr>
                <w:ilvl w:val="0"/>
                <w:numId w:val="0"/>
              </w:numPr>
              <w:rPr>
                <w:rFonts w:hint="eastAsia" w:ascii="仿宋" w:hAnsi="仿宋" w:eastAsia="仿宋" w:cs="Arial"/>
                <w:bCs/>
                <w:kern w:val="2"/>
                <w:sz w:val="30"/>
                <w:szCs w:val="30"/>
                <w:lang w:val="en-US" w:eastAsia="zh-CN" w:bidi="ar-SA"/>
              </w:rPr>
            </w:pPr>
            <w:r>
              <w:rPr>
                <w:rFonts w:hint="eastAsia" w:ascii="仿宋" w:hAnsi="仿宋" w:eastAsia="仿宋" w:cs="Arial"/>
                <w:bCs/>
                <w:kern w:val="2"/>
                <w:sz w:val="30"/>
                <w:szCs w:val="30"/>
                <w:lang w:val="en-US" w:eastAsia="zh-CN" w:bidi="ar-SA"/>
              </w:rPr>
              <w:t>供货时间：自合同签订之日起</w:t>
            </w:r>
            <w:r>
              <w:rPr>
                <w:rFonts w:hint="eastAsia" w:ascii="仿宋" w:hAnsi="仿宋" w:eastAsia="仿宋" w:cs="Arial"/>
                <w:bCs/>
                <w:kern w:val="2"/>
                <w:sz w:val="30"/>
                <w:szCs w:val="30"/>
                <w:u w:val="single"/>
                <w:lang w:val="en-US" w:eastAsia="zh-CN" w:bidi="ar-SA"/>
              </w:rPr>
              <w:t xml:space="preserve">     </w:t>
            </w:r>
            <w:r>
              <w:rPr>
                <w:rFonts w:hint="eastAsia" w:ascii="仿宋" w:hAnsi="仿宋" w:eastAsia="仿宋" w:cs="Arial"/>
                <w:bCs/>
                <w:kern w:val="2"/>
                <w:sz w:val="30"/>
                <w:szCs w:val="30"/>
                <w:lang w:val="en-US" w:eastAsia="zh-CN" w:bidi="ar-SA"/>
              </w:rPr>
              <w:t>个日历日内交付主平台（完成全部测试），之后</w:t>
            </w:r>
            <w:r>
              <w:rPr>
                <w:rFonts w:hint="eastAsia" w:ascii="仿宋" w:hAnsi="仿宋" w:eastAsia="仿宋" w:cs="Arial"/>
                <w:bCs/>
                <w:kern w:val="2"/>
                <w:sz w:val="30"/>
                <w:szCs w:val="30"/>
                <w:u w:val="single"/>
                <w:lang w:val="en-US" w:eastAsia="zh-CN" w:bidi="ar-SA"/>
              </w:rPr>
              <w:t xml:space="preserve">     </w:t>
            </w:r>
            <w:r>
              <w:rPr>
                <w:rFonts w:hint="eastAsia" w:ascii="仿宋" w:hAnsi="仿宋" w:eastAsia="仿宋" w:cs="Arial"/>
                <w:bCs/>
                <w:kern w:val="2"/>
                <w:sz w:val="30"/>
                <w:szCs w:val="30"/>
                <w:u w:val="none"/>
                <w:lang w:val="en-US" w:eastAsia="zh-CN" w:bidi="ar-SA"/>
              </w:rPr>
              <w:t>个</w:t>
            </w:r>
            <w:r>
              <w:rPr>
                <w:rFonts w:hint="eastAsia" w:ascii="仿宋" w:hAnsi="仿宋" w:eastAsia="仿宋" w:cs="Arial"/>
                <w:bCs/>
                <w:kern w:val="2"/>
                <w:sz w:val="30"/>
                <w:szCs w:val="30"/>
                <w:lang w:val="en-US" w:eastAsia="zh-CN" w:bidi="ar-SA"/>
              </w:rPr>
              <w:t>日历日交付3个子平台（完成全部测试），并完成全部项目验收。</w:t>
            </w:r>
          </w:p>
          <w:p w14:paraId="24E720D3">
            <w:pPr>
              <w:spacing w:line="360" w:lineRule="auto"/>
              <w:jc w:val="left"/>
              <w:rPr>
                <w:rFonts w:ascii="仿宋" w:hAnsi="仿宋" w:eastAsia="仿宋" w:cs="Arial"/>
                <w:bCs/>
                <w:kern w:val="2"/>
                <w:sz w:val="30"/>
                <w:szCs w:val="30"/>
                <w:lang w:val="en-US" w:eastAsia="zh-CN" w:bidi="ar-SA"/>
              </w:rPr>
            </w:pPr>
            <w:r>
              <w:rPr>
                <w:rFonts w:hint="eastAsia" w:ascii="仿宋" w:hAnsi="仿宋" w:eastAsia="仿宋" w:cs="Arial"/>
                <w:bCs/>
                <w:kern w:val="2"/>
                <w:sz w:val="30"/>
                <w:szCs w:val="30"/>
                <w:lang w:val="en-US" w:eastAsia="zh-CN" w:bidi="ar-SA"/>
              </w:rPr>
              <w:t>质保期：自验收合格并交付使用之日起</w:t>
            </w:r>
            <w:r>
              <w:rPr>
                <w:rFonts w:hint="eastAsia" w:ascii="仿宋" w:hAnsi="仿宋" w:eastAsia="仿宋" w:cs="Arial"/>
                <w:bCs/>
                <w:kern w:val="2"/>
                <w:sz w:val="30"/>
                <w:szCs w:val="30"/>
                <w:u w:val="single"/>
                <w:lang w:val="en-US" w:eastAsia="zh-CN" w:bidi="ar-SA"/>
              </w:rPr>
              <w:t xml:space="preserve">     </w:t>
            </w:r>
            <w:r>
              <w:rPr>
                <w:rFonts w:hint="eastAsia" w:ascii="仿宋" w:hAnsi="仿宋" w:eastAsia="仿宋" w:cs="Arial"/>
                <w:bCs/>
                <w:kern w:val="2"/>
                <w:sz w:val="30"/>
                <w:szCs w:val="30"/>
                <w:lang w:val="en-US" w:eastAsia="zh-CN" w:bidi="ar-SA"/>
              </w:rPr>
              <w:t>年。</w:t>
            </w:r>
          </w:p>
          <w:p w14:paraId="4421103B">
            <w:pPr>
              <w:pStyle w:val="8"/>
            </w:pPr>
          </w:p>
        </w:tc>
      </w:tr>
    </w:tbl>
    <w:p w14:paraId="34723468">
      <w:pPr>
        <w:pStyle w:val="9"/>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10"/>
        <w:ind w:left="5250"/>
      </w:pPr>
    </w:p>
    <w:p w14:paraId="0BEFCCE9">
      <w:pPr>
        <w:pStyle w:val="9"/>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10"/>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8"/>
        <w:jc w:val="left"/>
      </w:pPr>
    </w:p>
    <w:p w14:paraId="36FF8613">
      <w:pPr>
        <w:pStyle w:val="8"/>
        <w:jc w:val="left"/>
      </w:pPr>
    </w:p>
    <w:p w14:paraId="26E994BA">
      <w:pPr>
        <w:pStyle w:val="8"/>
        <w:jc w:val="left"/>
      </w:pPr>
    </w:p>
    <w:p w14:paraId="41291252">
      <w:pPr>
        <w:pStyle w:val="8"/>
        <w:jc w:val="left"/>
      </w:pPr>
    </w:p>
    <w:p w14:paraId="1798EB0B">
      <w:pPr>
        <w:pStyle w:val="8"/>
        <w:jc w:val="left"/>
      </w:pPr>
    </w:p>
    <w:p w14:paraId="4905FA6F">
      <w:pPr>
        <w:pStyle w:val="8"/>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41CE2CC3">
      <w:pPr>
        <w:jc w:val="center"/>
        <w:rPr>
          <w:rFonts w:hint="default" w:ascii="仿宋" w:hAnsi="仿宋" w:eastAsia="仿宋"/>
          <w:b/>
          <w:sz w:val="40"/>
          <w:szCs w:val="40"/>
          <w:lang w:val="en-US" w:eastAsia="zh-CN"/>
        </w:rPr>
      </w:pPr>
      <w:r>
        <w:rPr>
          <w:rFonts w:hint="eastAsia" w:ascii="仿宋" w:hAnsi="仿宋" w:eastAsia="仿宋"/>
          <w:b/>
          <w:sz w:val="40"/>
          <w:szCs w:val="40"/>
          <w:lang w:val="en-US" w:eastAsia="zh-CN"/>
        </w:rPr>
        <w:t>商务、技术响应、偏离情况说明表格</w:t>
      </w:r>
    </w:p>
    <w:p w14:paraId="0E09BE0A">
      <w:pPr>
        <w:pStyle w:val="8"/>
        <w:numPr>
          <w:ilvl w:val="0"/>
          <w:numId w:val="0"/>
        </w:numPr>
        <w:ind w:leftChars="0"/>
        <w:jc w:val="left"/>
        <w:rPr>
          <w:rFonts w:hint="default"/>
          <w:b/>
          <w:sz w:val="36"/>
          <w:szCs w:val="36"/>
          <w:lang w:val="en-US" w:eastAsia="zh-CN"/>
        </w:rPr>
      </w:pPr>
    </w:p>
    <w:p w14:paraId="63397DC4">
      <w:pPr>
        <w:spacing w:before="156" w:beforeLines="50" w:after="156" w:afterLines="50" w:line="360" w:lineRule="exact"/>
        <w:rPr>
          <w:rFonts w:ascii="宋体" w:hAnsi="宋体"/>
          <w:sz w:val="28"/>
        </w:rPr>
      </w:pPr>
      <w:r>
        <w:rPr>
          <w:rFonts w:hint="eastAsia" w:ascii="宋体" w:hAnsi="宋体"/>
          <w:sz w:val="28"/>
        </w:rPr>
        <w:t>采购编号：</w:t>
      </w:r>
      <w:r>
        <w:rPr>
          <w:rFonts w:hint="eastAsia" w:ascii="宋体" w:hAnsi="宋体"/>
          <w:sz w:val="28"/>
          <w:u w:val="single"/>
        </w:rPr>
        <w:t xml:space="preserve">                       </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171349578"/>
            <w:bookmarkStart w:id="3" w:name="_Toc405905876"/>
            <w:bookmarkStart w:id="4" w:name="_Toc254970729"/>
            <w:bookmarkStart w:id="5" w:name="_Toc254970588"/>
            <w:bookmarkStart w:id="6" w:name="_Toc173066401"/>
            <w:bookmarkStart w:id="7" w:name="_Toc173211900"/>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254970732"/>
            <w:bookmarkStart w:id="9" w:name="_Toc171349581"/>
            <w:bookmarkStart w:id="10" w:name="_Toc254970591"/>
            <w:bookmarkStart w:id="11" w:name="_Toc173066404"/>
            <w:bookmarkStart w:id="12" w:name="_Toc173211903"/>
            <w:bookmarkStart w:id="13" w:name="_Toc405905879"/>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254970592"/>
            <w:bookmarkStart w:id="15" w:name="_Toc173211904"/>
            <w:bookmarkStart w:id="16" w:name="_Toc254970733"/>
            <w:bookmarkStart w:id="17" w:name="_Toc405905880"/>
            <w:bookmarkStart w:id="18" w:name="_Toc171349582"/>
            <w:bookmarkStart w:id="19" w:name="_Toc173066405"/>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171349583"/>
            <w:bookmarkStart w:id="21" w:name="_Toc405905881"/>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254970734"/>
            <w:bookmarkStart w:id="23" w:name="_Toc173211905"/>
            <w:bookmarkStart w:id="24" w:name="_Toc173066406"/>
            <w:bookmarkStart w:id="25" w:name="_Toc254970593"/>
            <w:bookmarkStart w:id="26" w:name="_Toc405905882"/>
            <w:bookmarkStart w:id="27" w:name="_Toc171349584"/>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254970594"/>
            <w:bookmarkStart w:id="29" w:name="_Toc173066407"/>
            <w:bookmarkStart w:id="30" w:name="_Toc254970735"/>
            <w:bookmarkStart w:id="31" w:name="_Toc405905883"/>
            <w:bookmarkStart w:id="32" w:name="_Toc173211906"/>
            <w:bookmarkStart w:id="33" w:name="_Toc171349585"/>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3211907"/>
            <w:bookmarkStart w:id="35" w:name="_Toc171349586"/>
            <w:bookmarkStart w:id="36" w:name="_Toc173066408"/>
            <w:bookmarkStart w:id="37" w:name="_Toc405905884"/>
            <w:bookmarkStart w:id="38" w:name="_Toc254970595"/>
            <w:bookmarkStart w:id="39" w:name="_Toc254970736"/>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405905889"/>
            <w:bookmarkStart w:id="49" w:name="_Toc171349591"/>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8"/>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8"/>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8"/>
        <w:jc w:val="left"/>
        <w:rPr>
          <w:rFonts w:ascii="宋体" w:hAnsi="宋体" w:cs="宋体"/>
          <w:b/>
          <w:sz w:val="24"/>
          <w:szCs w:val="24"/>
        </w:rPr>
      </w:pPr>
    </w:p>
    <w:p w14:paraId="2BE3EBD7">
      <w:pPr>
        <w:pStyle w:val="8"/>
        <w:jc w:val="left"/>
      </w:pPr>
      <w:r>
        <w:rPr>
          <w:rFonts w:hint="eastAsia" w:ascii="宋体" w:hAnsi="宋体" w:cs="宋体"/>
          <w:b/>
          <w:sz w:val="24"/>
          <w:szCs w:val="24"/>
        </w:rPr>
        <w:t xml:space="preserve">      　　　　　　　　　　　　　                           日期：   年  月  日</w:t>
      </w:r>
    </w:p>
    <w:sectPr>
      <w:pgSz w:w="11906" w:h="16838"/>
      <w:pgMar w:top="567" w:right="0" w:bottom="567" w:left="28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431075"/>
    <w:multiLevelType w:val="singleLevel"/>
    <w:tmpl w:val="82431075"/>
    <w:lvl w:ilvl="0" w:tentative="0">
      <w:start w:val="1"/>
      <w:numFmt w:val="decimal"/>
      <w:lvlText w:val="%1."/>
      <w:lvlJc w:val="left"/>
      <w:pPr>
        <w:tabs>
          <w:tab w:val="left" w:pos="312"/>
        </w:tabs>
      </w:pPr>
      <w:rPr>
        <w:rFonts w:hint="default"/>
        <w:sz w:val="18"/>
        <w:szCs w:val="18"/>
      </w:rPr>
    </w:lvl>
  </w:abstractNum>
  <w:abstractNum w:abstractNumId="1">
    <w:nsid w:val="83076C7E"/>
    <w:multiLevelType w:val="singleLevel"/>
    <w:tmpl w:val="83076C7E"/>
    <w:lvl w:ilvl="0" w:tentative="0">
      <w:start w:val="1"/>
      <w:numFmt w:val="decimal"/>
      <w:lvlText w:val="%1."/>
      <w:lvlJc w:val="left"/>
      <w:pPr>
        <w:tabs>
          <w:tab w:val="left" w:pos="312"/>
        </w:tabs>
      </w:pPr>
    </w:lvl>
  </w:abstractNum>
  <w:abstractNum w:abstractNumId="2">
    <w:nsid w:val="940EDF56"/>
    <w:multiLevelType w:val="singleLevel"/>
    <w:tmpl w:val="940EDF56"/>
    <w:lvl w:ilvl="0" w:tentative="0">
      <w:start w:val="1"/>
      <w:numFmt w:val="decimal"/>
      <w:lvlText w:val="%1."/>
      <w:lvlJc w:val="left"/>
      <w:pPr>
        <w:tabs>
          <w:tab w:val="left" w:pos="312"/>
        </w:tabs>
      </w:pPr>
    </w:lvl>
  </w:abstractNum>
  <w:abstractNum w:abstractNumId="3">
    <w:nsid w:val="94C38B33"/>
    <w:multiLevelType w:val="singleLevel"/>
    <w:tmpl w:val="94C38B33"/>
    <w:lvl w:ilvl="0" w:tentative="0">
      <w:start w:val="1"/>
      <w:numFmt w:val="decimal"/>
      <w:lvlText w:val="%1."/>
      <w:lvlJc w:val="left"/>
      <w:pPr>
        <w:tabs>
          <w:tab w:val="left" w:pos="312"/>
        </w:tabs>
      </w:pPr>
    </w:lvl>
  </w:abstractNum>
  <w:abstractNum w:abstractNumId="4">
    <w:nsid w:val="95D2783A"/>
    <w:multiLevelType w:val="multilevel"/>
    <w:tmpl w:val="95D2783A"/>
    <w:lvl w:ilvl="0" w:tentative="0">
      <w:start w:val="1"/>
      <w:numFmt w:val="chineseCounting"/>
      <w:suff w:val="nothing"/>
      <w:lvlText w:val="（%1）"/>
      <w:lvlJc w:val="left"/>
      <w:pPr>
        <w:ind w:left="-420" w:firstLine="420"/>
      </w:pPr>
      <w:rPr>
        <w:rFonts w:hint="eastAsia"/>
        <w:sz w:val="18"/>
        <w:szCs w:val="18"/>
      </w:rPr>
    </w:lvl>
    <w:lvl w:ilvl="1" w:tentative="0">
      <w:start w:val="1"/>
      <w:numFmt w:val="decimal"/>
      <w:suff w:val="nothing"/>
      <w:lvlText w:val="%2．"/>
      <w:lvlJc w:val="left"/>
      <w:pPr>
        <w:ind w:left="-420" w:firstLine="420"/>
      </w:pPr>
      <w:rPr>
        <w:rFonts w:hint="eastAsia"/>
      </w:rPr>
    </w:lvl>
    <w:lvl w:ilvl="2" w:tentative="0">
      <w:start w:val="1"/>
      <w:numFmt w:val="decimal"/>
      <w:suff w:val="nothing"/>
      <w:lvlText w:val="（%3）"/>
      <w:lvlJc w:val="left"/>
      <w:pPr>
        <w:ind w:left="-420" w:firstLine="420"/>
      </w:pPr>
      <w:rPr>
        <w:rFonts w:hint="eastAsia"/>
      </w:rPr>
    </w:lvl>
    <w:lvl w:ilvl="3" w:tentative="0">
      <w:start w:val="1"/>
      <w:numFmt w:val="decimalEnclosedCircleChinese"/>
      <w:suff w:val="nothing"/>
      <w:lvlText w:val="%4"/>
      <w:lvlJc w:val="left"/>
      <w:pPr>
        <w:ind w:left="-420" w:firstLine="420"/>
      </w:pPr>
      <w:rPr>
        <w:rFonts w:hint="eastAsia"/>
      </w:rPr>
    </w:lvl>
    <w:lvl w:ilvl="4" w:tentative="0">
      <w:start w:val="1"/>
      <w:numFmt w:val="decimal"/>
      <w:suff w:val="nothing"/>
      <w:lvlText w:val="%5）"/>
      <w:lvlJc w:val="left"/>
      <w:pPr>
        <w:ind w:left="-420" w:firstLine="420"/>
      </w:pPr>
      <w:rPr>
        <w:rFonts w:hint="eastAsia"/>
      </w:rPr>
    </w:lvl>
    <w:lvl w:ilvl="5" w:tentative="0">
      <w:start w:val="1"/>
      <w:numFmt w:val="lowerLetter"/>
      <w:suff w:val="nothing"/>
      <w:lvlText w:val="%6．"/>
      <w:lvlJc w:val="left"/>
      <w:pPr>
        <w:ind w:left="-420" w:firstLine="420"/>
      </w:pPr>
      <w:rPr>
        <w:rFonts w:hint="eastAsia"/>
      </w:rPr>
    </w:lvl>
    <w:lvl w:ilvl="6" w:tentative="0">
      <w:start w:val="1"/>
      <w:numFmt w:val="lowerLetter"/>
      <w:suff w:val="nothing"/>
      <w:lvlText w:val="%7）"/>
      <w:lvlJc w:val="left"/>
      <w:pPr>
        <w:ind w:left="-420" w:firstLine="420"/>
      </w:pPr>
      <w:rPr>
        <w:rFonts w:hint="eastAsia"/>
      </w:rPr>
    </w:lvl>
    <w:lvl w:ilvl="7" w:tentative="0">
      <w:start w:val="1"/>
      <w:numFmt w:val="lowerRoman"/>
      <w:suff w:val="nothing"/>
      <w:lvlText w:val="%8．"/>
      <w:lvlJc w:val="left"/>
      <w:pPr>
        <w:ind w:left="-420" w:firstLine="420"/>
      </w:pPr>
      <w:rPr>
        <w:rFonts w:hint="eastAsia"/>
      </w:rPr>
    </w:lvl>
    <w:lvl w:ilvl="8" w:tentative="0">
      <w:start w:val="1"/>
      <w:numFmt w:val="lowerRoman"/>
      <w:suff w:val="nothing"/>
      <w:lvlText w:val="%9）"/>
      <w:lvlJc w:val="left"/>
      <w:pPr>
        <w:ind w:left="-420" w:firstLine="420"/>
      </w:pPr>
      <w:rPr>
        <w:rFonts w:hint="eastAsia"/>
      </w:rPr>
    </w:lvl>
  </w:abstractNum>
  <w:abstractNum w:abstractNumId="5">
    <w:nsid w:val="A2623F73"/>
    <w:multiLevelType w:val="multilevel"/>
    <w:tmpl w:val="A2623F73"/>
    <w:lvl w:ilvl="0" w:tentative="0">
      <w:start w:val="1"/>
      <w:numFmt w:val="chineseCounting"/>
      <w:suff w:val="nothing"/>
      <w:lvlText w:val="（%1）"/>
      <w:lvlJc w:val="left"/>
      <w:pPr>
        <w:ind w:left="-420" w:firstLine="420"/>
      </w:pPr>
      <w:rPr>
        <w:rFonts w:hint="eastAsia"/>
        <w:sz w:val="18"/>
        <w:szCs w:val="18"/>
      </w:rPr>
    </w:lvl>
    <w:lvl w:ilvl="1" w:tentative="0">
      <w:start w:val="1"/>
      <w:numFmt w:val="decimal"/>
      <w:suff w:val="nothing"/>
      <w:lvlText w:val="%2．"/>
      <w:lvlJc w:val="left"/>
      <w:pPr>
        <w:ind w:left="-420" w:firstLine="420"/>
      </w:pPr>
      <w:rPr>
        <w:rFonts w:hint="eastAsia"/>
      </w:rPr>
    </w:lvl>
    <w:lvl w:ilvl="2" w:tentative="0">
      <w:start w:val="1"/>
      <w:numFmt w:val="decimal"/>
      <w:suff w:val="nothing"/>
      <w:lvlText w:val="（%3）"/>
      <w:lvlJc w:val="left"/>
      <w:pPr>
        <w:ind w:left="-420" w:firstLine="420"/>
      </w:pPr>
      <w:rPr>
        <w:rFonts w:hint="eastAsia"/>
      </w:rPr>
    </w:lvl>
    <w:lvl w:ilvl="3" w:tentative="0">
      <w:start w:val="1"/>
      <w:numFmt w:val="decimalEnclosedCircleChinese"/>
      <w:suff w:val="nothing"/>
      <w:lvlText w:val="%4"/>
      <w:lvlJc w:val="left"/>
      <w:pPr>
        <w:ind w:left="-420" w:firstLine="420"/>
      </w:pPr>
      <w:rPr>
        <w:rFonts w:hint="eastAsia"/>
      </w:rPr>
    </w:lvl>
    <w:lvl w:ilvl="4" w:tentative="0">
      <w:start w:val="1"/>
      <w:numFmt w:val="decimal"/>
      <w:suff w:val="nothing"/>
      <w:lvlText w:val="%5）"/>
      <w:lvlJc w:val="left"/>
      <w:pPr>
        <w:ind w:left="-420" w:firstLine="420"/>
      </w:pPr>
      <w:rPr>
        <w:rFonts w:hint="eastAsia"/>
      </w:rPr>
    </w:lvl>
    <w:lvl w:ilvl="5" w:tentative="0">
      <w:start w:val="1"/>
      <w:numFmt w:val="lowerLetter"/>
      <w:suff w:val="nothing"/>
      <w:lvlText w:val="%6．"/>
      <w:lvlJc w:val="left"/>
      <w:pPr>
        <w:ind w:left="-420" w:firstLine="420"/>
      </w:pPr>
      <w:rPr>
        <w:rFonts w:hint="eastAsia"/>
      </w:rPr>
    </w:lvl>
    <w:lvl w:ilvl="6" w:tentative="0">
      <w:start w:val="1"/>
      <w:numFmt w:val="lowerLetter"/>
      <w:suff w:val="nothing"/>
      <w:lvlText w:val="%7）"/>
      <w:lvlJc w:val="left"/>
      <w:pPr>
        <w:ind w:left="-420" w:firstLine="420"/>
      </w:pPr>
      <w:rPr>
        <w:rFonts w:hint="eastAsia"/>
      </w:rPr>
    </w:lvl>
    <w:lvl w:ilvl="7" w:tentative="0">
      <w:start w:val="1"/>
      <w:numFmt w:val="lowerRoman"/>
      <w:suff w:val="nothing"/>
      <w:lvlText w:val="%8．"/>
      <w:lvlJc w:val="left"/>
      <w:pPr>
        <w:ind w:left="-420" w:firstLine="420"/>
      </w:pPr>
      <w:rPr>
        <w:rFonts w:hint="eastAsia"/>
      </w:rPr>
    </w:lvl>
    <w:lvl w:ilvl="8" w:tentative="0">
      <w:start w:val="1"/>
      <w:numFmt w:val="lowerRoman"/>
      <w:suff w:val="nothing"/>
      <w:lvlText w:val="%9）"/>
      <w:lvlJc w:val="left"/>
      <w:pPr>
        <w:ind w:left="-420" w:firstLine="420"/>
      </w:pPr>
      <w:rPr>
        <w:rFonts w:hint="eastAsia"/>
      </w:rPr>
    </w:lvl>
  </w:abstractNum>
  <w:abstractNum w:abstractNumId="6">
    <w:nsid w:val="A6D402F0"/>
    <w:multiLevelType w:val="multilevel"/>
    <w:tmpl w:val="A6D402F0"/>
    <w:lvl w:ilvl="0" w:tentative="0">
      <w:start w:val="1"/>
      <w:numFmt w:val="chineseCounting"/>
      <w:suff w:val="nothing"/>
      <w:lvlText w:val="（%1）"/>
      <w:lvlJc w:val="left"/>
      <w:pPr>
        <w:ind w:left="-420" w:firstLine="420"/>
      </w:pPr>
      <w:rPr>
        <w:rFonts w:hint="eastAsia"/>
        <w:sz w:val="18"/>
        <w:szCs w:val="18"/>
      </w:rPr>
    </w:lvl>
    <w:lvl w:ilvl="1" w:tentative="0">
      <w:start w:val="1"/>
      <w:numFmt w:val="decimal"/>
      <w:suff w:val="nothing"/>
      <w:lvlText w:val="%2．"/>
      <w:lvlJc w:val="left"/>
      <w:pPr>
        <w:ind w:left="-420" w:firstLine="420"/>
      </w:pPr>
      <w:rPr>
        <w:rFonts w:hint="eastAsia"/>
      </w:rPr>
    </w:lvl>
    <w:lvl w:ilvl="2" w:tentative="0">
      <w:start w:val="1"/>
      <w:numFmt w:val="decimal"/>
      <w:suff w:val="nothing"/>
      <w:lvlText w:val="（%3）"/>
      <w:lvlJc w:val="left"/>
      <w:pPr>
        <w:ind w:left="-420" w:firstLine="420"/>
      </w:pPr>
      <w:rPr>
        <w:rFonts w:hint="eastAsia"/>
      </w:rPr>
    </w:lvl>
    <w:lvl w:ilvl="3" w:tentative="0">
      <w:start w:val="1"/>
      <w:numFmt w:val="decimalEnclosedCircleChinese"/>
      <w:suff w:val="nothing"/>
      <w:lvlText w:val="%4"/>
      <w:lvlJc w:val="left"/>
      <w:pPr>
        <w:ind w:left="-420" w:firstLine="420"/>
      </w:pPr>
      <w:rPr>
        <w:rFonts w:hint="eastAsia"/>
      </w:rPr>
    </w:lvl>
    <w:lvl w:ilvl="4" w:tentative="0">
      <w:start w:val="1"/>
      <w:numFmt w:val="decimal"/>
      <w:suff w:val="nothing"/>
      <w:lvlText w:val="%5）"/>
      <w:lvlJc w:val="left"/>
      <w:pPr>
        <w:ind w:left="-420" w:firstLine="420"/>
      </w:pPr>
      <w:rPr>
        <w:rFonts w:hint="eastAsia"/>
      </w:rPr>
    </w:lvl>
    <w:lvl w:ilvl="5" w:tentative="0">
      <w:start w:val="1"/>
      <w:numFmt w:val="lowerLetter"/>
      <w:suff w:val="nothing"/>
      <w:lvlText w:val="%6．"/>
      <w:lvlJc w:val="left"/>
      <w:pPr>
        <w:ind w:left="-420" w:firstLine="420"/>
      </w:pPr>
      <w:rPr>
        <w:rFonts w:hint="eastAsia"/>
      </w:rPr>
    </w:lvl>
    <w:lvl w:ilvl="6" w:tentative="0">
      <w:start w:val="1"/>
      <w:numFmt w:val="lowerLetter"/>
      <w:suff w:val="nothing"/>
      <w:lvlText w:val="%7）"/>
      <w:lvlJc w:val="left"/>
      <w:pPr>
        <w:ind w:left="-420" w:firstLine="420"/>
      </w:pPr>
      <w:rPr>
        <w:rFonts w:hint="eastAsia"/>
      </w:rPr>
    </w:lvl>
    <w:lvl w:ilvl="7" w:tentative="0">
      <w:start w:val="1"/>
      <w:numFmt w:val="lowerRoman"/>
      <w:suff w:val="nothing"/>
      <w:lvlText w:val="%8．"/>
      <w:lvlJc w:val="left"/>
      <w:pPr>
        <w:ind w:left="-420" w:firstLine="420"/>
      </w:pPr>
      <w:rPr>
        <w:rFonts w:hint="eastAsia"/>
      </w:rPr>
    </w:lvl>
    <w:lvl w:ilvl="8" w:tentative="0">
      <w:start w:val="1"/>
      <w:numFmt w:val="lowerRoman"/>
      <w:suff w:val="nothing"/>
      <w:lvlText w:val="%9）"/>
      <w:lvlJc w:val="left"/>
      <w:pPr>
        <w:ind w:left="-420" w:firstLine="420"/>
      </w:pPr>
      <w:rPr>
        <w:rFonts w:hint="eastAsia"/>
      </w:rPr>
    </w:lvl>
  </w:abstractNum>
  <w:abstractNum w:abstractNumId="7">
    <w:nsid w:val="A94D96E3"/>
    <w:multiLevelType w:val="singleLevel"/>
    <w:tmpl w:val="A94D96E3"/>
    <w:lvl w:ilvl="0" w:tentative="0">
      <w:start w:val="1"/>
      <w:numFmt w:val="decimal"/>
      <w:lvlText w:val="%1."/>
      <w:lvlJc w:val="left"/>
      <w:pPr>
        <w:tabs>
          <w:tab w:val="left" w:pos="312"/>
        </w:tabs>
      </w:pPr>
    </w:lvl>
  </w:abstractNum>
  <w:abstractNum w:abstractNumId="8">
    <w:nsid w:val="AD6709A0"/>
    <w:multiLevelType w:val="multilevel"/>
    <w:tmpl w:val="AD6709A0"/>
    <w:lvl w:ilvl="0" w:tentative="0">
      <w:start w:val="1"/>
      <w:numFmt w:val="decimal"/>
      <w:lvlText w:val="%1."/>
      <w:lvlJc w:val="left"/>
      <w:pPr>
        <w:tabs>
          <w:tab w:val="left" w:pos="312"/>
        </w:tabs>
      </w:pPr>
      <w:rPr>
        <w:rFonts w:hint="default" w:ascii="宋体" w:hAnsi="宋体" w:eastAsia="宋体" w:cs="宋体"/>
        <w:sz w:val="18"/>
        <w:szCs w:val="18"/>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9">
    <w:nsid w:val="B0F87868"/>
    <w:multiLevelType w:val="singleLevel"/>
    <w:tmpl w:val="B0F87868"/>
    <w:lvl w:ilvl="0" w:tentative="0">
      <w:start w:val="1"/>
      <w:numFmt w:val="decimal"/>
      <w:lvlText w:val="%1."/>
      <w:lvlJc w:val="left"/>
      <w:pPr>
        <w:tabs>
          <w:tab w:val="left" w:pos="312"/>
        </w:tabs>
      </w:pPr>
    </w:lvl>
  </w:abstractNum>
  <w:abstractNum w:abstractNumId="10">
    <w:nsid w:val="C6B9A60D"/>
    <w:multiLevelType w:val="singleLevel"/>
    <w:tmpl w:val="C6B9A60D"/>
    <w:lvl w:ilvl="0" w:tentative="0">
      <w:start w:val="1"/>
      <w:numFmt w:val="decimal"/>
      <w:lvlText w:val="%1."/>
      <w:lvlJc w:val="left"/>
      <w:pPr>
        <w:tabs>
          <w:tab w:val="left" w:pos="312"/>
        </w:tabs>
      </w:pPr>
    </w:lvl>
  </w:abstractNum>
  <w:abstractNum w:abstractNumId="11">
    <w:nsid w:val="C710CB88"/>
    <w:multiLevelType w:val="singleLevel"/>
    <w:tmpl w:val="C710CB88"/>
    <w:lvl w:ilvl="0" w:tentative="0">
      <w:start w:val="1"/>
      <w:numFmt w:val="decimal"/>
      <w:lvlText w:val="%1."/>
      <w:lvlJc w:val="left"/>
      <w:pPr>
        <w:tabs>
          <w:tab w:val="left" w:pos="312"/>
        </w:tabs>
      </w:pPr>
    </w:lvl>
  </w:abstractNum>
  <w:abstractNum w:abstractNumId="12">
    <w:nsid w:val="C9A214B6"/>
    <w:multiLevelType w:val="singleLevel"/>
    <w:tmpl w:val="C9A214B6"/>
    <w:lvl w:ilvl="0" w:tentative="0">
      <w:start w:val="1"/>
      <w:numFmt w:val="decimal"/>
      <w:lvlText w:val="%1."/>
      <w:lvlJc w:val="left"/>
      <w:pPr>
        <w:tabs>
          <w:tab w:val="left" w:pos="312"/>
        </w:tabs>
      </w:pPr>
    </w:lvl>
  </w:abstractNum>
  <w:abstractNum w:abstractNumId="13">
    <w:nsid w:val="CA54AB00"/>
    <w:multiLevelType w:val="singleLevel"/>
    <w:tmpl w:val="CA54AB00"/>
    <w:lvl w:ilvl="0" w:tentative="0">
      <w:start w:val="1"/>
      <w:numFmt w:val="decimal"/>
      <w:lvlText w:val="%1."/>
      <w:lvlJc w:val="left"/>
      <w:pPr>
        <w:tabs>
          <w:tab w:val="left" w:pos="312"/>
        </w:tabs>
      </w:pPr>
    </w:lvl>
  </w:abstractNum>
  <w:abstractNum w:abstractNumId="14">
    <w:nsid w:val="E2D546E5"/>
    <w:multiLevelType w:val="singleLevel"/>
    <w:tmpl w:val="E2D546E5"/>
    <w:lvl w:ilvl="0" w:tentative="0">
      <w:start w:val="1"/>
      <w:numFmt w:val="decimal"/>
      <w:lvlText w:val="%1."/>
      <w:lvlJc w:val="left"/>
      <w:pPr>
        <w:tabs>
          <w:tab w:val="left" w:pos="312"/>
        </w:tabs>
      </w:pPr>
    </w:lvl>
  </w:abstractNum>
  <w:abstractNum w:abstractNumId="15">
    <w:nsid w:val="070EFAFA"/>
    <w:multiLevelType w:val="singleLevel"/>
    <w:tmpl w:val="070EFAFA"/>
    <w:lvl w:ilvl="0" w:tentative="0">
      <w:start w:val="1"/>
      <w:numFmt w:val="decimal"/>
      <w:lvlText w:val="%1."/>
      <w:lvlJc w:val="left"/>
      <w:pPr>
        <w:tabs>
          <w:tab w:val="left" w:pos="312"/>
        </w:tabs>
      </w:pPr>
    </w:lvl>
  </w:abstractNum>
  <w:abstractNum w:abstractNumId="16">
    <w:nsid w:val="11F4E3EC"/>
    <w:multiLevelType w:val="multilevel"/>
    <w:tmpl w:val="11F4E3EC"/>
    <w:lvl w:ilvl="0" w:tentative="0">
      <w:start w:val="1"/>
      <w:numFmt w:val="chineseCounting"/>
      <w:suff w:val="nothing"/>
      <w:lvlText w:val="（%1）"/>
      <w:lvlJc w:val="left"/>
      <w:pPr>
        <w:ind w:left="-420" w:firstLine="420"/>
      </w:pPr>
      <w:rPr>
        <w:rFonts w:hint="eastAsia"/>
        <w:sz w:val="18"/>
        <w:szCs w:val="18"/>
      </w:rPr>
    </w:lvl>
    <w:lvl w:ilvl="1" w:tentative="0">
      <w:start w:val="1"/>
      <w:numFmt w:val="decimal"/>
      <w:suff w:val="nothing"/>
      <w:lvlText w:val="%2．"/>
      <w:lvlJc w:val="left"/>
      <w:pPr>
        <w:ind w:left="-420" w:firstLine="420"/>
      </w:pPr>
      <w:rPr>
        <w:rFonts w:hint="eastAsia"/>
      </w:rPr>
    </w:lvl>
    <w:lvl w:ilvl="2" w:tentative="0">
      <w:start w:val="1"/>
      <w:numFmt w:val="decimal"/>
      <w:suff w:val="nothing"/>
      <w:lvlText w:val="（%3）"/>
      <w:lvlJc w:val="left"/>
      <w:pPr>
        <w:ind w:left="-420" w:firstLine="420"/>
      </w:pPr>
      <w:rPr>
        <w:rFonts w:hint="eastAsia"/>
      </w:rPr>
    </w:lvl>
    <w:lvl w:ilvl="3" w:tentative="0">
      <w:start w:val="1"/>
      <w:numFmt w:val="decimalEnclosedCircleChinese"/>
      <w:suff w:val="nothing"/>
      <w:lvlText w:val="%4"/>
      <w:lvlJc w:val="left"/>
      <w:pPr>
        <w:ind w:left="-420" w:firstLine="420"/>
      </w:pPr>
      <w:rPr>
        <w:rFonts w:hint="eastAsia"/>
      </w:rPr>
    </w:lvl>
    <w:lvl w:ilvl="4" w:tentative="0">
      <w:start w:val="1"/>
      <w:numFmt w:val="decimal"/>
      <w:suff w:val="nothing"/>
      <w:lvlText w:val="%5）"/>
      <w:lvlJc w:val="left"/>
      <w:pPr>
        <w:ind w:left="-420" w:firstLine="420"/>
      </w:pPr>
      <w:rPr>
        <w:rFonts w:hint="eastAsia"/>
      </w:rPr>
    </w:lvl>
    <w:lvl w:ilvl="5" w:tentative="0">
      <w:start w:val="1"/>
      <w:numFmt w:val="lowerLetter"/>
      <w:suff w:val="nothing"/>
      <w:lvlText w:val="%6．"/>
      <w:lvlJc w:val="left"/>
      <w:pPr>
        <w:ind w:left="-420" w:firstLine="420"/>
      </w:pPr>
      <w:rPr>
        <w:rFonts w:hint="eastAsia"/>
      </w:rPr>
    </w:lvl>
    <w:lvl w:ilvl="6" w:tentative="0">
      <w:start w:val="1"/>
      <w:numFmt w:val="lowerLetter"/>
      <w:suff w:val="nothing"/>
      <w:lvlText w:val="%7）"/>
      <w:lvlJc w:val="left"/>
      <w:pPr>
        <w:ind w:left="-420" w:firstLine="420"/>
      </w:pPr>
      <w:rPr>
        <w:rFonts w:hint="eastAsia"/>
      </w:rPr>
    </w:lvl>
    <w:lvl w:ilvl="7" w:tentative="0">
      <w:start w:val="1"/>
      <w:numFmt w:val="lowerRoman"/>
      <w:suff w:val="nothing"/>
      <w:lvlText w:val="%8．"/>
      <w:lvlJc w:val="left"/>
      <w:pPr>
        <w:ind w:left="-420" w:firstLine="420"/>
      </w:pPr>
      <w:rPr>
        <w:rFonts w:hint="eastAsia"/>
      </w:rPr>
    </w:lvl>
    <w:lvl w:ilvl="8" w:tentative="0">
      <w:start w:val="1"/>
      <w:numFmt w:val="lowerRoman"/>
      <w:suff w:val="nothing"/>
      <w:lvlText w:val="%9）"/>
      <w:lvlJc w:val="left"/>
      <w:pPr>
        <w:ind w:left="-420" w:firstLine="420"/>
      </w:pPr>
      <w:rPr>
        <w:rFonts w:hint="eastAsia"/>
      </w:rPr>
    </w:lvl>
  </w:abstractNum>
  <w:abstractNum w:abstractNumId="17">
    <w:nsid w:val="14BA743F"/>
    <w:multiLevelType w:val="singleLevel"/>
    <w:tmpl w:val="14BA743F"/>
    <w:lvl w:ilvl="0" w:tentative="0">
      <w:start w:val="1"/>
      <w:numFmt w:val="decimal"/>
      <w:lvlText w:val="%1."/>
      <w:lvlJc w:val="left"/>
      <w:pPr>
        <w:tabs>
          <w:tab w:val="left" w:pos="312"/>
        </w:tabs>
      </w:pPr>
      <w:rPr>
        <w:rFonts w:hint="default"/>
        <w:sz w:val="18"/>
        <w:szCs w:val="18"/>
      </w:rPr>
    </w:lvl>
  </w:abstractNum>
  <w:abstractNum w:abstractNumId="18">
    <w:nsid w:val="4EA6F3CD"/>
    <w:multiLevelType w:val="singleLevel"/>
    <w:tmpl w:val="4EA6F3CD"/>
    <w:lvl w:ilvl="0" w:tentative="0">
      <w:start w:val="1"/>
      <w:numFmt w:val="chineseCounting"/>
      <w:suff w:val="nothing"/>
      <w:lvlText w:val="%1、"/>
      <w:lvlJc w:val="left"/>
      <w:pPr>
        <w:ind w:left="210"/>
      </w:pPr>
      <w:rPr>
        <w:rFonts w:hint="eastAsia"/>
        <w:sz w:val="18"/>
        <w:szCs w:val="18"/>
      </w:rPr>
    </w:lvl>
  </w:abstractNum>
  <w:abstractNum w:abstractNumId="19">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abstractNum w:abstractNumId="20">
    <w:nsid w:val="691336DC"/>
    <w:multiLevelType w:val="singleLevel"/>
    <w:tmpl w:val="691336DC"/>
    <w:lvl w:ilvl="0" w:tentative="0">
      <w:start w:val="1"/>
      <w:numFmt w:val="decimal"/>
      <w:suff w:val="nothing"/>
      <w:lvlText w:val="（%1）"/>
      <w:lvlJc w:val="left"/>
      <w:rPr>
        <w:rFonts w:hint="default"/>
        <w:sz w:val="18"/>
        <w:szCs w:val="18"/>
      </w:rPr>
    </w:lvl>
  </w:abstractNum>
  <w:abstractNum w:abstractNumId="21">
    <w:nsid w:val="699A7AF0"/>
    <w:multiLevelType w:val="multilevel"/>
    <w:tmpl w:val="699A7AF0"/>
    <w:lvl w:ilvl="0" w:tentative="0">
      <w:start w:val="1"/>
      <w:numFmt w:val="japaneseCounting"/>
      <w:lvlText w:val="%1、"/>
      <w:lvlJc w:val="left"/>
      <w:pPr>
        <w:ind w:left="720" w:hanging="720"/>
      </w:pPr>
      <w:rPr>
        <w:rFonts w:hint="default" w:cs="Times New Roman"/>
        <w:b w:val="0"/>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7C420431"/>
    <w:multiLevelType w:val="singleLevel"/>
    <w:tmpl w:val="7C420431"/>
    <w:lvl w:ilvl="0" w:tentative="0">
      <w:start w:val="1"/>
      <w:numFmt w:val="decimal"/>
      <w:suff w:val="nothing"/>
      <w:lvlText w:val="（%1）"/>
      <w:lvlJc w:val="left"/>
    </w:lvl>
  </w:abstractNum>
  <w:num w:numId="1">
    <w:abstractNumId w:val="21"/>
  </w:num>
  <w:num w:numId="2">
    <w:abstractNumId w:val="18"/>
  </w:num>
  <w:num w:numId="3">
    <w:abstractNumId w:val="4"/>
  </w:num>
  <w:num w:numId="4">
    <w:abstractNumId w:val="11"/>
  </w:num>
  <w:num w:numId="5">
    <w:abstractNumId w:val="13"/>
  </w:num>
  <w:num w:numId="6">
    <w:abstractNumId w:val="10"/>
  </w:num>
  <w:num w:numId="7">
    <w:abstractNumId w:val="7"/>
  </w:num>
  <w:num w:numId="8">
    <w:abstractNumId w:val="22"/>
  </w:num>
  <w:num w:numId="9">
    <w:abstractNumId w:val="20"/>
  </w:num>
  <w:num w:numId="10">
    <w:abstractNumId w:val="3"/>
  </w:num>
  <w:num w:numId="11">
    <w:abstractNumId w:val="14"/>
  </w:num>
  <w:num w:numId="12">
    <w:abstractNumId w:val="1"/>
  </w:num>
  <w:num w:numId="13">
    <w:abstractNumId w:val="2"/>
  </w:num>
  <w:num w:numId="14">
    <w:abstractNumId w:val="9"/>
  </w:num>
  <w:num w:numId="15">
    <w:abstractNumId w:val="6"/>
  </w:num>
  <w:num w:numId="16">
    <w:abstractNumId w:val="0"/>
  </w:num>
  <w:num w:numId="17">
    <w:abstractNumId w:val="16"/>
  </w:num>
  <w:num w:numId="18">
    <w:abstractNumId w:val="17"/>
  </w:num>
  <w:num w:numId="19">
    <w:abstractNumId w:val="5"/>
  </w:num>
  <w:num w:numId="20">
    <w:abstractNumId w:val="15"/>
  </w:num>
  <w:num w:numId="21">
    <w:abstractNumId w:val="8"/>
  </w:num>
  <w:num w:numId="22">
    <w:abstractNumId w:val="12"/>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6BD"/>
    <w:rsid w:val="000018D7"/>
    <w:rsid w:val="00004473"/>
    <w:rsid w:val="0000773F"/>
    <w:rsid w:val="000353E4"/>
    <w:rsid w:val="000371B6"/>
    <w:rsid w:val="00041884"/>
    <w:rsid w:val="00055D18"/>
    <w:rsid w:val="00082A57"/>
    <w:rsid w:val="00085DC7"/>
    <w:rsid w:val="00091BBA"/>
    <w:rsid w:val="000923F6"/>
    <w:rsid w:val="00093CB1"/>
    <w:rsid w:val="00097D3A"/>
    <w:rsid w:val="000A3C1B"/>
    <w:rsid w:val="000A5A19"/>
    <w:rsid w:val="000C12D4"/>
    <w:rsid w:val="000C7233"/>
    <w:rsid w:val="000E7B28"/>
    <w:rsid w:val="00103A4C"/>
    <w:rsid w:val="00110976"/>
    <w:rsid w:val="00111FB3"/>
    <w:rsid w:val="00125DE1"/>
    <w:rsid w:val="00126098"/>
    <w:rsid w:val="00134FBB"/>
    <w:rsid w:val="00137857"/>
    <w:rsid w:val="00143AB3"/>
    <w:rsid w:val="00147DB2"/>
    <w:rsid w:val="00161A9C"/>
    <w:rsid w:val="0016583F"/>
    <w:rsid w:val="00170FBE"/>
    <w:rsid w:val="001819B9"/>
    <w:rsid w:val="001A3AD1"/>
    <w:rsid w:val="001B5FA5"/>
    <w:rsid w:val="001C3BDA"/>
    <w:rsid w:val="001D3CCC"/>
    <w:rsid w:val="001D65E5"/>
    <w:rsid w:val="001E526E"/>
    <w:rsid w:val="00203CF6"/>
    <w:rsid w:val="0021720B"/>
    <w:rsid w:val="00223015"/>
    <w:rsid w:val="00245A85"/>
    <w:rsid w:val="0026380E"/>
    <w:rsid w:val="002720D2"/>
    <w:rsid w:val="002724AA"/>
    <w:rsid w:val="00284B2E"/>
    <w:rsid w:val="002E25C1"/>
    <w:rsid w:val="003005C7"/>
    <w:rsid w:val="003006F3"/>
    <w:rsid w:val="00302685"/>
    <w:rsid w:val="0031193C"/>
    <w:rsid w:val="003242E3"/>
    <w:rsid w:val="003517AE"/>
    <w:rsid w:val="00357151"/>
    <w:rsid w:val="003841BF"/>
    <w:rsid w:val="0038781F"/>
    <w:rsid w:val="003A7361"/>
    <w:rsid w:val="003A778C"/>
    <w:rsid w:val="003B19FE"/>
    <w:rsid w:val="003B2D64"/>
    <w:rsid w:val="003C27EA"/>
    <w:rsid w:val="003C6274"/>
    <w:rsid w:val="003C6AF5"/>
    <w:rsid w:val="003D1DF7"/>
    <w:rsid w:val="003F002C"/>
    <w:rsid w:val="003F4F5F"/>
    <w:rsid w:val="004215D2"/>
    <w:rsid w:val="00435A85"/>
    <w:rsid w:val="00450776"/>
    <w:rsid w:val="00473999"/>
    <w:rsid w:val="00475758"/>
    <w:rsid w:val="00477542"/>
    <w:rsid w:val="004808DC"/>
    <w:rsid w:val="00481096"/>
    <w:rsid w:val="00484983"/>
    <w:rsid w:val="004876BD"/>
    <w:rsid w:val="004A047B"/>
    <w:rsid w:val="004A144E"/>
    <w:rsid w:val="004A1686"/>
    <w:rsid w:val="004B0F43"/>
    <w:rsid w:val="004B399E"/>
    <w:rsid w:val="004B50B7"/>
    <w:rsid w:val="004B5C02"/>
    <w:rsid w:val="004B5D6F"/>
    <w:rsid w:val="004D39AE"/>
    <w:rsid w:val="004D71C9"/>
    <w:rsid w:val="004E47D4"/>
    <w:rsid w:val="004E56D9"/>
    <w:rsid w:val="004F4853"/>
    <w:rsid w:val="00530FA9"/>
    <w:rsid w:val="00540D48"/>
    <w:rsid w:val="005417EA"/>
    <w:rsid w:val="00544392"/>
    <w:rsid w:val="00545F20"/>
    <w:rsid w:val="005527E5"/>
    <w:rsid w:val="0056697D"/>
    <w:rsid w:val="00567370"/>
    <w:rsid w:val="0057651C"/>
    <w:rsid w:val="0058310B"/>
    <w:rsid w:val="00583B87"/>
    <w:rsid w:val="005912AA"/>
    <w:rsid w:val="00591B20"/>
    <w:rsid w:val="005A28E4"/>
    <w:rsid w:val="005A2C42"/>
    <w:rsid w:val="005B6934"/>
    <w:rsid w:val="005B7AD7"/>
    <w:rsid w:val="005C0A72"/>
    <w:rsid w:val="005D169E"/>
    <w:rsid w:val="005E6B06"/>
    <w:rsid w:val="00601983"/>
    <w:rsid w:val="00602370"/>
    <w:rsid w:val="0060364D"/>
    <w:rsid w:val="00630019"/>
    <w:rsid w:val="00646167"/>
    <w:rsid w:val="00664795"/>
    <w:rsid w:val="00677DB4"/>
    <w:rsid w:val="0068443C"/>
    <w:rsid w:val="006A4D42"/>
    <w:rsid w:val="006B482F"/>
    <w:rsid w:val="006C7F0E"/>
    <w:rsid w:val="006E3DB3"/>
    <w:rsid w:val="006E627A"/>
    <w:rsid w:val="00704EEE"/>
    <w:rsid w:val="007119C0"/>
    <w:rsid w:val="0071754A"/>
    <w:rsid w:val="00733061"/>
    <w:rsid w:val="0074537E"/>
    <w:rsid w:val="00746EB5"/>
    <w:rsid w:val="00771256"/>
    <w:rsid w:val="00776334"/>
    <w:rsid w:val="00780E24"/>
    <w:rsid w:val="00787A90"/>
    <w:rsid w:val="007A25FA"/>
    <w:rsid w:val="007B3216"/>
    <w:rsid w:val="007F5CD8"/>
    <w:rsid w:val="007F67CC"/>
    <w:rsid w:val="00804F65"/>
    <w:rsid w:val="008450BD"/>
    <w:rsid w:val="00853E6F"/>
    <w:rsid w:val="00857607"/>
    <w:rsid w:val="00870FEB"/>
    <w:rsid w:val="008872C6"/>
    <w:rsid w:val="00893A92"/>
    <w:rsid w:val="00895149"/>
    <w:rsid w:val="008A0FDD"/>
    <w:rsid w:val="008E0AA6"/>
    <w:rsid w:val="008E2BBD"/>
    <w:rsid w:val="009225D0"/>
    <w:rsid w:val="009225FE"/>
    <w:rsid w:val="009276C3"/>
    <w:rsid w:val="009449B4"/>
    <w:rsid w:val="00951FAE"/>
    <w:rsid w:val="00955C64"/>
    <w:rsid w:val="00967AD8"/>
    <w:rsid w:val="00967E5C"/>
    <w:rsid w:val="00980E85"/>
    <w:rsid w:val="00982041"/>
    <w:rsid w:val="00992C20"/>
    <w:rsid w:val="009B316D"/>
    <w:rsid w:val="009B56E3"/>
    <w:rsid w:val="009C2E25"/>
    <w:rsid w:val="009D231C"/>
    <w:rsid w:val="009D3F71"/>
    <w:rsid w:val="009E741C"/>
    <w:rsid w:val="009E7CDD"/>
    <w:rsid w:val="009F4293"/>
    <w:rsid w:val="009F61EB"/>
    <w:rsid w:val="00A02E6E"/>
    <w:rsid w:val="00A05B62"/>
    <w:rsid w:val="00A20C30"/>
    <w:rsid w:val="00A5798F"/>
    <w:rsid w:val="00A64F73"/>
    <w:rsid w:val="00A669E2"/>
    <w:rsid w:val="00A92E08"/>
    <w:rsid w:val="00AA101B"/>
    <w:rsid w:val="00AB4824"/>
    <w:rsid w:val="00AC4444"/>
    <w:rsid w:val="00AC66CC"/>
    <w:rsid w:val="00AD3232"/>
    <w:rsid w:val="00AD3C1E"/>
    <w:rsid w:val="00AE5463"/>
    <w:rsid w:val="00AF4A09"/>
    <w:rsid w:val="00B02F55"/>
    <w:rsid w:val="00B07F1A"/>
    <w:rsid w:val="00B16D94"/>
    <w:rsid w:val="00B171A5"/>
    <w:rsid w:val="00B300A6"/>
    <w:rsid w:val="00B3500A"/>
    <w:rsid w:val="00B566C4"/>
    <w:rsid w:val="00B766AF"/>
    <w:rsid w:val="00B936BD"/>
    <w:rsid w:val="00BA0493"/>
    <w:rsid w:val="00BA1CC8"/>
    <w:rsid w:val="00BB7677"/>
    <w:rsid w:val="00BE3153"/>
    <w:rsid w:val="00C31B42"/>
    <w:rsid w:val="00C43775"/>
    <w:rsid w:val="00C53746"/>
    <w:rsid w:val="00C608B4"/>
    <w:rsid w:val="00C72A1B"/>
    <w:rsid w:val="00C9263A"/>
    <w:rsid w:val="00C928EB"/>
    <w:rsid w:val="00CB1097"/>
    <w:rsid w:val="00CD438B"/>
    <w:rsid w:val="00CF0708"/>
    <w:rsid w:val="00D137C2"/>
    <w:rsid w:val="00D21FA4"/>
    <w:rsid w:val="00D2458C"/>
    <w:rsid w:val="00D30EB7"/>
    <w:rsid w:val="00D31817"/>
    <w:rsid w:val="00D47A16"/>
    <w:rsid w:val="00D517FA"/>
    <w:rsid w:val="00D53546"/>
    <w:rsid w:val="00D749F4"/>
    <w:rsid w:val="00D931C0"/>
    <w:rsid w:val="00D94717"/>
    <w:rsid w:val="00D94744"/>
    <w:rsid w:val="00DA141F"/>
    <w:rsid w:val="00DD299E"/>
    <w:rsid w:val="00DD2AF4"/>
    <w:rsid w:val="00DE1083"/>
    <w:rsid w:val="00DF1487"/>
    <w:rsid w:val="00E126EC"/>
    <w:rsid w:val="00E364D2"/>
    <w:rsid w:val="00E5096A"/>
    <w:rsid w:val="00E55527"/>
    <w:rsid w:val="00E70646"/>
    <w:rsid w:val="00EB2CDB"/>
    <w:rsid w:val="00EB66A6"/>
    <w:rsid w:val="00F009A6"/>
    <w:rsid w:val="00F04090"/>
    <w:rsid w:val="00F13735"/>
    <w:rsid w:val="00F2656E"/>
    <w:rsid w:val="00F326E6"/>
    <w:rsid w:val="00F337DA"/>
    <w:rsid w:val="00F37774"/>
    <w:rsid w:val="00F50F96"/>
    <w:rsid w:val="00F51F16"/>
    <w:rsid w:val="00F53703"/>
    <w:rsid w:val="00F73AA4"/>
    <w:rsid w:val="00F762F8"/>
    <w:rsid w:val="00F9005E"/>
    <w:rsid w:val="00FA0419"/>
    <w:rsid w:val="00FB08FE"/>
    <w:rsid w:val="00FC331E"/>
    <w:rsid w:val="00FD5DFE"/>
    <w:rsid w:val="00FE2318"/>
    <w:rsid w:val="05B955A9"/>
    <w:rsid w:val="06020879"/>
    <w:rsid w:val="0C911AFA"/>
    <w:rsid w:val="0D7B1CD9"/>
    <w:rsid w:val="0DE15120"/>
    <w:rsid w:val="0F7909A8"/>
    <w:rsid w:val="0FE93A22"/>
    <w:rsid w:val="105D1B31"/>
    <w:rsid w:val="14DF6C32"/>
    <w:rsid w:val="1A675CCB"/>
    <w:rsid w:val="1AAB0964"/>
    <w:rsid w:val="1B912C21"/>
    <w:rsid w:val="1F2D6B06"/>
    <w:rsid w:val="1F752E36"/>
    <w:rsid w:val="22A52928"/>
    <w:rsid w:val="231E1F2F"/>
    <w:rsid w:val="234A77AC"/>
    <w:rsid w:val="252218B8"/>
    <w:rsid w:val="25EA35B4"/>
    <w:rsid w:val="2A5A6292"/>
    <w:rsid w:val="2B183A7F"/>
    <w:rsid w:val="2B5B3134"/>
    <w:rsid w:val="2BBC5306"/>
    <w:rsid w:val="2C2B6B7D"/>
    <w:rsid w:val="2C8F0B18"/>
    <w:rsid w:val="2CD63E90"/>
    <w:rsid w:val="2EE556D9"/>
    <w:rsid w:val="303A0730"/>
    <w:rsid w:val="316424EB"/>
    <w:rsid w:val="32DD4E3E"/>
    <w:rsid w:val="33194A17"/>
    <w:rsid w:val="37FC2926"/>
    <w:rsid w:val="39124E76"/>
    <w:rsid w:val="3BEC5927"/>
    <w:rsid w:val="3C1E0B0E"/>
    <w:rsid w:val="3D271595"/>
    <w:rsid w:val="3EA75205"/>
    <w:rsid w:val="3EBB5A45"/>
    <w:rsid w:val="4429347B"/>
    <w:rsid w:val="455822AC"/>
    <w:rsid w:val="46F25071"/>
    <w:rsid w:val="473A00D2"/>
    <w:rsid w:val="49C63677"/>
    <w:rsid w:val="4AA44035"/>
    <w:rsid w:val="4D5D7410"/>
    <w:rsid w:val="4EA26AF3"/>
    <w:rsid w:val="550567EF"/>
    <w:rsid w:val="593C279C"/>
    <w:rsid w:val="5C1C2E1C"/>
    <w:rsid w:val="5DFD28D7"/>
    <w:rsid w:val="5EC6574C"/>
    <w:rsid w:val="62C159A8"/>
    <w:rsid w:val="63772297"/>
    <w:rsid w:val="63EE34BC"/>
    <w:rsid w:val="68A43AD7"/>
    <w:rsid w:val="6DE11058"/>
    <w:rsid w:val="7066285B"/>
    <w:rsid w:val="70BA2651"/>
    <w:rsid w:val="73E42A9A"/>
    <w:rsid w:val="73FF4DDC"/>
    <w:rsid w:val="75106CE6"/>
    <w:rsid w:val="75342D58"/>
    <w:rsid w:val="75822D8C"/>
    <w:rsid w:val="75AA195E"/>
    <w:rsid w:val="75E328D1"/>
    <w:rsid w:val="76B15B00"/>
    <w:rsid w:val="7A8770A4"/>
    <w:rsid w:val="7BA30B19"/>
    <w:rsid w:val="7C9557AD"/>
    <w:rsid w:val="7CE02FBF"/>
    <w:rsid w:val="7EC87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6"/>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semiHidden/>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next w:val="1"/>
    <w:qFormat/>
    <w:uiPriority w:val="0"/>
    <w:pPr>
      <w:autoSpaceDE w:val="0"/>
      <w:autoSpaceDN w:val="0"/>
      <w:adjustRightInd w:val="0"/>
      <w:jc w:val="left"/>
    </w:pPr>
    <w:rPr>
      <w:rFonts w:ascii="Arial" w:hAnsi="Arial" w:eastAsia="PMingLiU" w:cs="Times New Roman"/>
      <w:kern w:val="0"/>
      <w:sz w:val="20"/>
      <w:szCs w:val="20"/>
    </w:rPr>
  </w:style>
  <w:style w:type="paragraph" w:styleId="6">
    <w:name w:val="Normal Indent"/>
    <w:basedOn w:val="1"/>
    <w:qFormat/>
    <w:uiPriority w:val="0"/>
    <w:pPr>
      <w:ind w:firstLine="420"/>
    </w:pPr>
    <w:rPr>
      <w:kern w:val="0"/>
      <w:sz w:val="20"/>
      <w:szCs w:val="20"/>
    </w:rPr>
  </w:style>
  <w:style w:type="paragraph" w:styleId="7">
    <w:name w:val="annotation text"/>
    <w:basedOn w:val="1"/>
    <w:link w:val="30"/>
    <w:semiHidden/>
    <w:unhideWhenUsed/>
    <w:qFormat/>
    <w:uiPriority w:val="99"/>
    <w:pPr>
      <w:jc w:val="left"/>
    </w:pPr>
  </w:style>
  <w:style w:type="paragraph" w:styleId="8">
    <w:name w:val="Body Text"/>
    <w:basedOn w:val="1"/>
    <w:link w:val="24"/>
    <w:unhideWhenUsed/>
    <w:qFormat/>
    <w:uiPriority w:val="99"/>
    <w:pPr>
      <w:spacing w:after="120"/>
    </w:pPr>
  </w:style>
  <w:style w:type="paragraph" w:styleId="9">
    <w:name w:val="Plain Text"/>
    <w:basedOn w:val="1"/>
    <w:next w:val="10"/>
    <w:link w:val="35"/>
    <w:qFormat/>
    <w:uiPriority w:val="99"/>
    <w:rPr>
      <w:rFonts w:ascii="宋体" w:hAnsi="Courier New"/>
    </w:rPr>
  </w:style>
  <w:style w:type="paragraph" w:styleId="10">
    <w:name w:val="Date"/>
    <w:basedOn w:val="1"/>
    <w:next w:val="1"/>
    <w:semiHidden/>
    <w:unhideWhenUsed/>
    <w:qFormat/>
    <w:uiPriority w:val="99"/>
    <w:pPr>
      <w:ind w:left="100" w:leftChars="2500"/>
    </w:pPr>
  </w:style>
  <w:style w:type="paragraph" w:styleId="11">
    <w:name w:val="Balloon Text"/>
    <w:basedOn w:val="1"/>
    <w:link w:val="32"/>
    <w:semiHidden/>
    <w:unhideWhenUsed/>
    <w:qFormat/>
    <w:uiPriority w:val="99"/>
    <w:rPr>
      <w:sz w:val="18"/>
      <w:szCs w:val="18"/>
    </w:rPr>
  </w:style>
  <w:style w:type="paragraph" w:styleId="12">
    <w:name w:val="footer"/>
    <w:basedOn w:val="1"/>
    <w:link w:val="29"/>
    <w:unhideWhenUsed/>
    <w:qFormat/>
    <w:uiPriority w:val="99"/>
    <w:pPr>
      <w:tabs>
        <w:tab w:val="center" w:pos="4153"/>
        <w:tab w:val="right" w:pos="8306"/>
      </w:tabs>
      <w:snapToGrid w:val="0"/>
      <w:jc w:val="left"/>
    </w:pPr>
    <w:rPr>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2"/>
    <w:basedOn w:val="1"/>
    <w:next w:val="1"/>
    <w:autoRedefine/>
    <w:semiHidden/>
    <w:unhideWhenUsed/>
    <w:qFormat/>
    <w:uiPriority w:val="39"/>
    <w:pPr>
      <w:ind w:left="420" w:leftChars="200"/>
    </w:pPr>
  </w:style>
  <w:style w:type="paragraph" w:styleId="15">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16">
    <w:name w:val="annotation subject"/>
    <w:basedOn w:val="7"/>
    <w:next w:val="7"/>
    <w:link w:val="31"/>
    <w:semiHidden/>
    <w:unhideWhenUsed/>
    <w:qFormat/>
    <w:uiPriority w:val="99"/>
    <w:rPr>
      <w:b/>
      <w:bCs/>
    </w:rPr>
  </w:style>
  <w:style w:type="paragraph" w:styleId="17">
    <w:name w:val="Body Text First Indent"/>
    <w:basedOn w:val="8"/>
    <w:link w:val="25"/>
    <w:unhideWhenUsed/>
    <w:qFormat/>
    <w:uiPriority w:val="99"/>
    <w:pPr>
      <w:ind w:firstLine="420" w:firstLineChars="100"/>
    </w:pPr>
  </w:style>
  <w:style w:type="character" w:styleId="20">
    <w:name w:val="Strong"/>
    <w:basedOn w:val="19"/>
    <w:qFormat/>
    <w:uiPriority w:val="22"/>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styleId="22">
    <w:name w:val="annotation reference"/>
    <w:basedOn w:val="19"/>
    <w:unhideWhenUsed/>
    <w:qFormat/>
    <w:uiPriority w:val="99"/>
    <w:rPr>
      <w:sz w:val="21"/>
      <w:szCs w:val="21"/>
    </w:rPr>
  </w:style>
  <w:style w:type="paragraph" w:styleId="23">
    <w:name w:val="List Paragraph"/>
    <w:basedOn w:val="1"/>
    <w:qFormat/>
    <w:uiPriority w:val="34"/>
    <w:pPr>
      <w:ind w:firstLine="420" w:firstLineChars="200"/>
    </w:pPr>
    <w:rPr>
      <w:rFonts w:ascii="Times New Roman" w:hAnsi="Times New Roman" w:eastAsia="宋体" w:cs="Times New Roman"/>
      <w:szCs w:val="24"/>
    </w:rPr>
  </w:style>
  <w:style w:type="character" w:customStyle="1" w:styleId="24">
    <w:name w:val="正文文本 Char"/>
    <w:basedOn w:val="19"/>
    <w:link w:val="8"/>
    <w:qFormat/>
    <w:uiPriority w:val="99"/>
  </w:style>
  <w:style w:type="character" w:customStyle="1" w:styleId="25">
    <w:name w:val="正文首行缩进 Char"/>
    <w:basedOn w:val="24"/>
    <w:link w:val="17"/>
    <w:qFormat/>
    <w:uiPriority w:val="99"/>
  </w:style>
  <w:style w:type="character" w:customStyle="1" w:styleId="26">
    <w:name w:val="标题 1 Char"/>
    <w:basedOn w:val="19"/>
    <w:link w:val="3"/>
    <w:qFormat/>
    <w:uiPriority w:val="9"/>
    <w:rPr>
      <w:b/>
      <w:bCs/>
      <w:kern w:val="44"/>
      <w:sz w:val="44"/>
      <w:szCs w:val="44"/>
    </w:rPr>
  </w:style>
  <w:style w:type="character" w:customStyle="1" w:styleId="27">
    <w:name w:val="标题 2 Char"/>
    <w:basedOn w:val="19"/>
    <w:link w:val="4"/>
    <w:qFormat/>
    <w:uiPriority w:val="9"/>
    <w:rPr>
      <w:rFonts w:asciiTheme="majorHAnsi" w:hAnsiTheme="majorHAnsi" w:eastAsiaTheme="majorEastAsia" w:cstheme="majorBidi"/>
      <w:b/>
      <w:bCs/>
      <w:kern w:val="2"/>
      <w:sz w:val="32"/>
      <w:szCs w:val="32"/>
    </w:rPr>
  </w:style>
  <w:style w:type="character" w:customStyle="1" w:styleId="28">
    <w:name w:val="页眉 Char"/>
    <w:basedOn w:val="19"/>
    <w:link w:val="13"/>
    <w:qFormat/>
    <w:uiPriority w:val="99"/>
    <w:rPr>
      <w:rFonts w:asciiTheme="minorHAnsi" w:hAnsiTheme="minorHAnsi" w:eastAsiaTheme="minorEastAsia" w:cstheme="minorBidi"/>
      <w:kern w:val="2"/>
      <w:sz w:val="18"/>
      <w:szCs w:val="18"/>
    </w:rPr>
  </w:style>
  <w:style w:type="character" w:customStyle="1" w:styleId="29">
    <w:name w:val="页脚 Char"/>
    <w:basedOn w:val="19"/>
    <w:link w:val="12"/>
    <w:qFormat/>
    <w:uiPriority w:val="99"/>
    <w:rPr>
      <w:rFonts w:asciiTheme="minorHAnsi" w:hAnsiTheme="minorHAnsi" w:eastAsiaTheme="minorEastAsia" w:cstheme="minorBidi"/>
      <w:kern w:val="2"/>
      <w:sz w:val="18"/>
      <w:szCs w:val="18"/>
    </w:rPr>
  </w:style>
  <w:style w:type="character" w:customStyle="1" w:styleId="30">
    <w:name w:val="批注文字 Char"/>
    <w:basedOn w:val="19"/>
    <w:link w:val="7"/>
    <w:semiHidden/>
    <w:qFormat/>
    <w:uiPriority w:val="99"/>
    <w:rPr>
      <w:rFonts w:asciiTheme="minorHAnsi" w:hAnsiTheme="minorHAnsi" w:eastAsiaTheme="minorEastAsia" w:cstheme="minorBidi"/>
      <w:kern w:val="2"/>
      <w:sz w:val="21"/>
      <w:szCs w:val="22"/>
    </w:rPr>
  </w:style>
  <w:style w:type="character" w:customStyle="1" w:styleId="31">
    <w:name w:val="批注主题 Char"/>
    <w:basedOn w:val="30"/>
    <w:link w:val="16"/>
    <w:semiHidden/>
    <w:qFormat/>
    <w:uiPriority w:val="99"/>
    <w:rPr>
      <w:rFonts w:asciiTheme="minorHAnsi" w:hAnsiTheme="minorHAnsi" w:eastAsiaTheme="minorEastAsia" w:cstheme="minorBidi"/>
      <w:b/>
      <w:bCs/>
      <w:kern w:val="2"/>
      <w:sz w:val="21"/>
      <w:szCs w:val="22"/>
    </w:rPr>
  </w:style>
  <w:style w:type="character" w:customStyle="1" w:styleId="32">
    <w:name w:val="批注框文本 Char"/>
    <w:basedOn w:val="19"/>
    <w:link w:val="11"/>
    <w:semiHidden/>
    <w:qFormat/>
    <w:uiPriority w:val="99"/>
    <w:rPr>
      <w:rFonts w:asciiTheme="minorHAnsi" w:hAnsiTheme="minorHAnsi" w:eastAsiaTheme="minorEastAsia" w:cstheme="minorBidi"/>
      <w:kern w:val="2"/>
      <w:sz w:val="18"/>
      <w:szCs w:val="18"/>
    </w:rPr>
  </w:style>
  <w:style w:type="paragraph" w:customStyle="1" w:styleId="33">
    <w:name w:val="正文0"/>
    <w:basedOn w:val="1"/>
    <w:qFormat/>
    <w:uiPriority w:val="0"/>
    <w:pPr>
      <w:autoSpaceDE w:val="0"/>
      <w:autoSpaceDN w:val="0"/>
      <w:adjustRightInd w:val="0"/>
      <w:spacing w:before="240" w:after="60" w:line="360" w:lineRule="atLeast"/>
    </w:pPr>
    <w:rPr>
      <w:rFonts w:ascii="Times New Roman" w:hAnsi="Times New Roman" w:eastAsia="宋体" w:cs="Times New Roman"/>
      <w:b/>
      <w:kern w:val="0"/>
      <w:sz w:val="24"/>
      <w:szCs w:val="20"/>
    </w:rPr>
  </w:style>
  <w:style w:type="character" w:customStyle="1" w:styleId="34">
    <w:name w:val="标题 3 Char"/>
    <w:basedOn w:val="19"/>
    <w:link w:val="5"/>
    <w:semiHidden/>
    <w:qFormat/>
    <w:uiPriority w:val="9"/>
    <w:rPr>
      <w:b/>
      <w:bCs/>
      <w:kern w:val="2"/>
      <w:sz w:val="32"/>
      <w:szCs w:val="32"/>
    </w:rPr>
  </w:style>
  <w:style w:type="character" w:customStyle="1" w:styleId="35">
    <w:name w:val="纯文本 Char"/>
    <w:link w:val="9"/>
    <w:qFormat/>
    <w:uiPriority w:val="99"/>
    <w:rPr>
      <w:rFonts w:ascii="宋体" w:hAnsi="Courier New"/>
      <w:kern w:val="2"/>
      <w:sz w:val="21"/>
      <w:szCs w:val="22"/>
    </w:rPr>
  </w:style>
  <w:style w:type="paragraph" w:customStyle="1" w:styleId="36">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7">
    <w:name w:val="font41"/>
    <w:qFormat/>
    <w:uiPriority w:val="0"/>
    <w:rPr>
      <w:rFonts w:hint="eastAsia" w:ascii="宋体" w:hAnsi="宋体" w:eastAsia="宋体" w:cs="宋体"/>
      <w:color w:val="000000"/>
      <w:sz w:val="20"/>
      <w:szCs w:val="20"/>
      <w:u w:val="none"/>
    </w:rPr>
  </w:style>
  <w:style w:type="paragraph" w:customStyle="1" w:styleId="38">
    <w:name w:val="标题2"/>
    <w:basedOn w:val="1"/>
    <w:next w:val="1"/>
    <w:qFormat/>
    <w:uiPriority w:val="0"/>
    <w:pPr>
      <w:ind w:firstLine="0" w:firstLineChars="0"/>
      <w:outlineLvl w:val="1"/>
    </w:pPr>
    <w:rPr>
      <w:b/>
    </w:rPr>
  </w:style>
  <w:style w:type="paragraph" w:customStyle="1" w:styleId="39">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23</Pages>
  <Words>16059</Words>
  <Characters>16519</Characters>
  <Lines>47</Lines>
  <Paragraphs>13</Paragraphs>
  <TotalTime>9</TotalTime>
  <ScaleCrop>false</ScaleCrop>
  <LinksUpToDate>false</LinksUpToDate>
  <CharactersWithSpaces>18015</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2023-09-07T08:02:00Z</dcterms:created>
  <dc:creator>Windows</dc:creator>
  <cp:lastModifiedBy> RONG</cp:lastModifiedBy>
  <dcterms:modified xsi:type="dcterms:W3CDTF">2026-09-24T03:16:34Z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KSOTemplateDocerSaveRecord">
    <vt:lpwstr>eyJoZGlkIjoiMDQ0ZTdmOTFlZjc0OWU0NDhmMzA1YTM2NmI5MDg1MzIiLCJ1c2VySWQiOiI0MDk0NTEyMTIifQ==</vt:lpwstr>
  </property>
  <property fmtid="{D5CDD505-2E9C-101B-9397-08002B2CF9AE}" pid="4" name="ICV">
    <vt:lpwstr>485CC7B5D6D24D139A20604EE785CE93_13</vt:lpwstr>
  </property>
</Properties>
</file>