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28FA9">
      <w:pPr>
        <w:pStyle w:val="19"/>
        <w:jc w:val="center"/>
        <w:rPr>
          <w:rFonts w:hint="eastAsia"/>
          <w:b/>
          <w:color w:val="FF0000"/>
          <w:sz w:val="44"/>
          <w:szCs w:val="44"/>
        </w:rPr>
      </w:pPr>
      <w:r>
        <w:rPr>
          <w:rFonts w:hint="eastAsia"/>
          <w:b/>
          <w:sz w:val="44"/>
          <w:szCs w:val="44"/>
        </w:rPr>
        <w:t>柳州职业技术大学</w:t>
      </w:r>
      <w:r>
        <w:rPr>
          <w:rFonts w:hint="eastAsia"/>
          <w:b/>
          <w:sz w:val="44"/>
          <w:szCs w:val="44"/>
          <w:lang w:val="en-US" w:eastAsia="zh-CN"/>
        </w:rPr>
        <w:t>数字融媒体中心项目装饰装修设计服务采购</w:t>
      </w:r>
      <w:r>
        <w:rPr>
          <w:rFonts w:hint="eastAsia"/>
          <w:b/>
          <w:sz w:val="44"/>
          <w:szCs w:val="44"/>
        </w:rPr>
        <w:t>项目市场询价采购公告</w:t>
      </w:r>
    </w:p>
    <w:p w14:paraId="56BDE6CC">
      <w:pPr>
        <w:numPr>
          <w:ilvl w:val="0"/>
          <w:numId w:val="1"/>
        </w:numPr>
        <w:spacing w:line="500" w:lineRule="exact"/>
        <w:rPr>
          <w:rFonts w:hint="eastAsia" w:ascii="宋体" w:hAnsi="宋体" w:cs="宋体"/>
          <w:sz w:val="24"/>
          <w:szCs w:val="24"/>
        </w:rPr>
      </w:pPr>
      <w:r>
        <w:rPr>
          <w:rFonts w:hint="eastAsia" w:ascii="宋体" w:hAnsi="宋体" w:cs="宋体"/>
          <w:sz w:val="24"/>
          <w:szCs w:val="24"/>
        </w:rPr>
        <w:t>项目名称：数字融媒体中心项目装饰装修设计服务采购</w:t>
      </w:r>
    </w:p>
    <w:p w14:paraId="7809A7B3">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叁</w:t>
      </w:r>
      <w:r>
        <w:rPr>
          <w:rFonts w:hint="eastAsia" w:ascii="宋体" w:hAnsi="宋体" w:cs="宋体"/>
          <w:sz w:val="24"/>
          <w:szCs w:val="24"/>
        </w:rPr>
        <w:t>万元整（¥</w:t>
      </w:r>
      <w:r>
        <w:rPr>
          <w:rFonts w:hint="eastAsia" w:ascii="宋体" w:hAnsi="宋体" w:cs="宋体"/>
          <w:sz w:val="24"/>
          <w:szCs w:val="24"/>
          <w:lang w:val="en-US" w:eastAsia="zh-CN"/>
        </w:rPr>
        <w:t>30000</w:t>
      </w:r>
      <w:r>
        <w:rPr>
          <w:rFonts w:hint="eastAsia" w:ascii="宋体" w:hAnsi="宋体" w:cs="宋体"/>
          <w:sz w:val="24"/>
          <w:szCs w:val="24"/>
        </w:rPr>
        <w:t>.00）</w:t>
      </w:r>
    </w:p>
    <w:p w14:paraId="4D8B2A55">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6ECA11A2">
      <w:pPr>
        <w:numPr>
          <w:ilvl w:val="0"/>
          <w:numId w:val="1"/>
        </w:numPr>
        <w:spacing w:line="500" w:lineRule="exact"/>
        <w:rPr>
          <w:rFonts w:ascii="宋体" w:hAnsi="宋体"/>
          <w:sz w:val="24"/>
          <w:szCs w:val="24"/>
        </w:rPr>
      </w:pPr>
      <w:r>
        <w:rPr>
          <w:rFonts w:hint="eastAsia" w:ascii="宋体" w:hAnsi="宋体"/>
          <w:sz w:val="24"/>
          <w:szCs w:val="24"/>
        </w:rPr>
        <w:t>采购要求：</w:t>
      </w:r>
      <w:bookmarkStart w:id="52" w:name="_GoBack"/>
      <w:bookmarkEnd w:id="52"/>
    </w:p>
    <w:p w14:paraId="04E96087">
      <w:pPr>
        <w:pStyle w:val="5"/>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3"/>
        <w:tblW w:w="9747" w:type="dxa"/>
        <w:tblInd w:w="0" w:type="dxa"/>
        <w:tblLayout w:type="fixed"/>
        <w:tblCellMar>
          <w:top w:w="0" w:type="dxa"/>
          <w:left w:w="108" w:type="dxa"/>
          <w:bottom w:w="0" w:type="dxa"/>
          <w:right w:w="108" w:type="dxa"/>
        </w:tblCellMar>
      </w:tblPr>
      <w:tblGrid>
        <w:gridCol w:w="412"/>
        <w:gridCol w:w="992"/>
        <w:gridCol w:w="6784"/>
        <w:gridCol w:w="709"/>
        <w:gridCol w:w="850"/>
      </w:tblGrid>
      <w:tr w14:paraId="46D298CB">
        <w:tblPrEx>
          <w:tblCellMar>
            <w:top w:w="0" w:type="dxa"/>
            <w:left w:w="108" w:type="dxa"/>
            <w:bottom w:w="0" w:type="dxa"/>
            <w:right w:w="108" w:type="dxa"/>
          </w:tblCellMar>
        </w:tblPrEx>
        <w:trPr>
          <w:trHeight w:val="456" w:hRule="atLeast"/>
        </w:trPr>
        <w:tc>
          <w:tcPr>
            <w:tcW w:w="412" w:type="dxa"/>
            <w:tcBorders>
              <w:top w:val="single" w:color="auto" w:sz="4" w:space="0"/>
              <w:left w:val="single" w:color="auto" w:sz="4" w:space="0"/>
              <w:bottom w:val="single" w:color="auto" w:sz="4" w:space="0"/>
              <w:right w:val="single" w:color="auto" w:sz="4" w:space="0"/>
            </w:tcBorders>
            <w:vAlign w:val="center"/>
          </w:tcPr>
          <w:p w14:paraId="1B6C888D">
            <w:pPr>
              <w:widowControl/>
              <w:jc w:val="center"/>
              <w:rPr>
                <w:rFonts w:hint="eastAsia" w:ascii="宋体" w:hAnsi="宋体" w:eastAsia="宋体" w:cs="宋体"/>
                <w:b w:val="0"/>
                <w:bCs/>
                <w:color w:val="000000"/>
                <w:kern w:val="0"/>
                <w:sz w:val="21"/>
                <w:szCs w:val="21"/>
              </w:rPr>
            </w:pPr>
            <w:r>
              <w:rPr>
                <w:rFonts w:hint="eastAsia" w:ascii="宋体" w:hAnsi="宋体" w:eastAsia="宋体" w:cs="宋体"/>
                <w:b w:val="0"/>
                <w:bCs/>
                <w:color w:val="000000"/>
                <w:kern w:val="0"/>
                <w:sz w:val="21"/>
                <w:szCs w:val="21"/>
              </w:rPr>
              <w:t>序号</w:t>
            </w:r>
          </w:p>
        </w:tc>
        <w:tc>
          <w:tcPr>
            <w:tcW w:w="992" w:type="dxa"/>
            <w:tcBorders>
              <w:top w:val="single" w:color="auto" w:sz="4" w:space="0"/>
              <w:left w:val="nil"/>
              <w:bottom w:val="single" w:color="auto" w:sz="4" w:space="0"/>
              <w:right w:val="single" w:color="auto" w:sz="4" w:space="0"/>
            </w:tcBorders>
            <w:vAlign w:val="center"/>
          </w:tcPr>
          <w:p w14:paraId="7D268E91">
            <w:pPr>
              <w:widowControl/>
              <w:jc w:val="center"/>
              <w:rPr>
                <w:rFonts w:hint="eastAsia" w:ascii="宋体" w:hAnsi="宋体" w:eastAsia="宋体" w:cs="宋体"/>
                <w:b w:val="0"/>
                <w:bCs/>
                <w:color w:val="000000"/>
                <w:kern w:val="0"/>
                <w:sz w:val="21"/>
                <w:szCs w:val="21"/>
              </w:rPr>
            </w:pPr>
            <w:r>
              <w:rPr>
                <w:rFonts w:hint="eastAsia" w:ascii="宋体" w:hAnsi="宋体" w:eastAsia="宋体" w:cs="宋体"/>
                <w:b w:val="0"/>
                <w:bCs/>
                <w:color w:val="000000"/>
                <w:kern w:val="0"/>
                <w:sz w:val="21"/>
                <w:szCs w:val="21"/>
              </w:rPr>
              <w:t>名称</w:t>
            </w:r>
          </w:p>
        </w:tc>
        <w:tc>
          <w:tcPr>
            <w:tcW w:w="6784" w:type="dxa"/>
            <w:tcBorders>
              <w:top w:val="single" w:color="auto" w:sz="4" w:space="0"/>
              <w:left w:val="nil"/>
              <w:bottom w:val="single" w:color="auto" w:sz="4" w:space="0"/>
              <w:right w:val="single" w:color="auto" w:sz="4" w:space="0"/>
            </w:tcBorders>
            <w:vAlign w:val="center"/>
          </w:tcPr>
          <w:p w14:paraId="1704C5A6">
            <w:pPr>
              <w:widowControl/>
              <w:jc w:val="center"/>
              <w:rPr>
                <w:rFonts w:hint="eastAsia" w:ascii="宋体" w:hAnsi="宋体" w:eastAsia="宋体" w:cs="宋体"/>
                <w:b w:val="0"/>
                <w:bCs/>
                <w:color w:val="000000"/>
                <w:kern w:val="0"/>
                <w:sz w:val="21"/>
                <w:szCs w:val="21"/>
              </w:rPr>
            </w:pPr>
            <w:r>
              <w:rPr>
                <w:rFonts w:hint="eastAsia" w:ascii="宋体" w:hAnsi="宋体" w:eastAsia="宋体" w:cs="宋体"/>
                <w:b w:val="0"/>
                <w:bCs/>
                <w:color w:val="000000"/>
                <w:kern w:val="0"/>
                <w:sz w:val="21"/>
                <w:szCs w:val="21"/>
              </w:rPr>
              <w:t>参数要求</w:t>
            </w:r>
          </w:p>
        </w:tc>
        <w:tc>
          <w:tcPr>
            <w:tcW w:w="709" w:type="dxa"/>
            <w:tcBorders>
              <w:top w:val="single" w:color="auto" w:sz="4" w:space="0"/>
              <w:left w:val="single" w:color="auto" w:sz="4" w:space="0"/>
              <w:bottom w:val="single" w:color="auto" w:sz="4" w:space="0"/>
              <w:right w:val="single" w:color="auto" w:sz="4" w:space="0"/>
            </w:tcBorders>
            <w:vAlign w:val="center"/>
          </w:tcPr>
          <w:p w14:paraId="103034BA">
            <w:pPr>
              <w:widowControl/>
              <w:jc w:val="center"/>
              <w:rPr>
                <w:rFonts w:hint="eastAsia" w:ascii="宋体" w:hAnsi="宋体" w:eastAsia="宋体" w:cs="宋体"/>
                <w:b w:val="0"/>
                <w:bCs/>
                <w:color w:val="000000"/>
                <w:kern w:val="0"/>
                <w:sz w:val="21"/>
                <w:szCs w:val="21"/>
              </w:rPr>
            </w:pPr>
            <w:r>
              <w:rPr>
                <w:rFonts w:hint="eastAsia" w:ascii="宋体" w:hAnsi="宋体" w:eastAsia="宋体" w:cs="宋体"/>
                <w:b w:val="0"/>
                <w:bCs/>
                <w:color w:val="000000"/>
                <w:kern w:val="0"/>
                <w:sz w:val="21"/>
                <w:szCs w:val="21"/>
              </w:rPr>
              <w:t>单位</w:t>
            </w:r>
          </w:p>
        </w:tc>
        <w:tc>
          <w:tcPr>
            <w:tcW w:w="850" w:type="dxa"/>
            <w:tcBorders>
              <w:top w:val="single" w:color="auto" w:sz="4" w:space="0"/>
              <w:left w:val="single" w:color="auto" w:sz="4" w:space="0"/>
              <w:bottom w:val="single" w:color="auto" w:sz="4" w:space="0"/>
              <w:right w:val="single" w:color="auto" w:sz="4" w:space="0"/>
            </w:tcBorders>
            <w:vAlign w:val="center"/>
          </w:tcPr>
          <w:p w14:paraId="08B7CB58">
            <w:pPr>
              <w:widowControl/>
              <w:jc w:val="center"/>
              <w:rPr>
                <w:rFonts w:hint="eastAsia" w:ascii="宋体" w:hAnsi="宋体" w:eastAsia="宋体" w:cs="宋体"/>
                <w:b w:val="0"/>
                <w:bCs/>
                <w:color w:val="000000"/>
                <w:kern w:val="0"/>
                <w:sz w:val="21"/>
                <w:szCs w:val="21"/>
              </w:rPr>
            </w:pPr>
            <w:r>
              <w:rPr>
                <w:rFonts w:hint="eastAsia" w:ascii="宋体" w:hAnsi="宋体" w:eastAsia="宋体" w:cs="宋体"/>
                <w:b w:val="0"/>
                <w:bCs/>
                <w:color w:val="000000"/>
                <w:kern w:val="0"/>
                <w:sz w:val="21"/>
                <w:szCs w:val="21"/>
              </w:rPr>
              <w:t>数量</w:t>
            </w:r>
          </w:p>
        </w:tc>
      </w:tr>
      <w:tr w14:paraId="79EA0FB8">
        <w:tblPrEx>
          <w:tblCellMar>
            <w:top w:w="0" w:type="dxa"/>
            <w:left w:w="108" w:type="dxa"/>
            <w:bottom w:w="0" w:type="dxa"/>
            <w:right w:w="108" w:type="dxa"/>
          </w:tblCellMar>
        </w:tblPrEx>
        <w:trPr>
          <w:trHeight w:val="1066" w:hRule="atLeast"/>
        </w:trPr>
        <w:tc>
          <w:tcPr>
            <w:tcW w:w="412" w:type="dxa"/>
            <w:tcBorders>
              <w:top w:val="single" w:color="auto" w:sz="4" w:space="0"/>
              <w:left w:val="single" w:color="auto" w:sz="4" w:space="0"/>
              <w:bottom w:val="single" w:color="auto" w:sz="4" w:space="0"/>
              <w:right w:val="single" w:color="auto" w:sz="4" w:space="0"/>
            </w:tcBorders>
            <w:vAlign w:val="top"/>
          </w:tcPr>
          <w:p w14:paraId="085A4A47">
            <w:pPr>
              <w:widowControl/>
              <w:jc w:val="both"/>
              <w:rPr>
                <w:rFonts w:hint="eastAsia" w:ascii="宋体" w:hAnsi="宋体" w:cs="宋体"/>
                <w:b w:val="0"/>
                <w:bCs w:val="0"/>
                <w:color w:val="000000"/>
                <w:kern w:val="0"/>
                <w:sz w:val="18"/>
                <w:szCs w:val="18"/>
              </w:rPr>
            </w:pPr>
            <w:r>
              <w:rPr>
                <w:rFonts w:hint="eastAsia" w:cs="宋体" w:asciiTheme="minorEastAsia" w:hAnsiTheme="minorEastAsia"/>
                <w:b w:val="0"/>
                <w:bCs w:val="0"/>
                <w:color w:val="000000"/>
                <w:kern w:val="0"/>
                <w:sz w:val="18"/>
                <w:szCs w:val="18"/>
              </w:rPr>
              <w:t>1</w:t>
            </w:r>
          </w:p>
        </w:tc>
        <w:tc>
          <w:tcPr>
            <w:tcW w:w="992" w:type="dxa"/>
            <w:tcBorders>
              <w:top w:val="single" w:color="auto" w:sz="4" w:space="0"/>
              <w:left w:val="nil"/>
              <w:bottom w:val="single" w:color="auto" w:sz="4" w:space="0"/>
              <w:right w:val="single" w:color="auto" w:sz="4" w:space="0"/>
            </w:tcBorders>
            <w:vAlign w:val="top"/>
          </w:tcPr>
          <w:p w14:paraId="13E941B7">
            <w:pPr>
              <w:widowControl/>
              <w:jc w:val="both"/>
              <w:rPr>
                <w:rFonts w:hint="eastAsia" w:ascii="宋体" w:hAnsi="宋体" w:cs="宋体"/>
                <w:b w:val="0"/>
                <w:bCs w:val="0"/>
                <w:color w:val="000000"/>
                <w:kern w:val="0"/>
                <w:sz w:val="18"/>
                <w:szCs w:val="18"/>
              </w:rPr>
            </w:pPr>
            <w:r>
              <w:rPr>
                <w:rFonts w:hint="eastAsia" w:ascii="宋体" w:hAnsi="宋体" w:cs="宋体"/>
                <w:sz w:val="20"/>
                <w:szCs w:val="20"/>
              </w:rPr>
              <w:t>数字融媒体中心项目装饰装修设计服务</w:t>
            </w:r>
          </w:p>
        </w:tc>
        <w:tc>
          <w:tcPr>
            <w:tcW w:w="6784" w:type="dxa"/>
            <w:tcBorders>
              <w:top w:val="single" w:color="auto" w:sz="4" w:space="0"/>
              <w:left w:val="nil"/>
              <w:bottom w:val="single" w:color="auto" w:sz="4" w:space="0"/>
              <w:right w:val="single" w:color="auto" w:sz="4" w:space="0"/>
            </w:tcBorders>
            <w:vAlign w:val="top"/>
          </w:tcPr>
          <w:p w14:paraId="67F082CC">
            <w:pPr>
              <w:widowControl/>
              <w:spacing w:line="360" w:lineRule="auto"/>
              <w:ind w:left="0" w:leftChars="0" w:firstLine="0" w:firstLineChars="0"/>
              <w:jc w:val="both"/>
              <w:rPr>
                <w:rFonts w:hint="eastAsia"/>
                <w:b w:val="0"/>
                <w:bCs w:val="0"/>
                <w:sz w:val="20"/>
                <w:szCs w:val="20"/>
              </w:rPr>
            </w:pPr>
            <w:r>
              <w:rPr>
                <w:rFonts w:hint="eastAsia"/>
                <w:b w:val="0"/>
                <w:bCs w:val="0"/>
                <w:sz w:val="20"/>
                <w:szCs w:val="20"/>
              </w:rPr>
              <w:t>一、设计</w:t>
            </w:r>
            <w:r>
              <w:rPr>
                <w:rFonts w:hint="eastAsia"/>
                <w:b w:val="0"/>
                <w:bCs w:val="0"/>
                <w:sz w:val="20"/>
                <w:szCs w:val="20"/>
                <w:lang w:val="en-US" w:eastAsia="zh-CN"/>
              </w:rPr>
              <w:t>内容</w:t>
            </w:r>
          </w:p>
          <w:p w14:paraId="51D3F941">
            <w:pPr>
              <w:widowControl/>
              <w:numPr>
                <w:ilvl w:val="0"/>
                <w:numId w:val="2"/>
              </w:numPr>
              <w:spacing w:line="360" w:lineRule="auto"/>
              <w:ind w:left="0" w:leftChars="0" w:firstLine="0" w:firstLineChars="0"/>
              <w:jc w:val="both"/>
              <w:rPr>
                <w:rFonts w:hint="eastAsia"/>
                <w:b w:val="0"/>
                <w:bCs w:val="0"/>
                <w:sz w:val="16"/>
                <w:szCs w:val="16"/>
              </w:rPr>
            </w:pPr>
            <w:r>
              <w:rPr>
                <w:rFonts w:hint="eastAsia"/>
                <w:sz w:val="20"/>
                <w:szCs w:val="21"/>
                <w:lang w:val="en-US" w:eastAsia="zh-CN"/>
              </w:rPr>
              <w:t>本项目内部装饰装修主要是数字融媒体中心以动漫为主题的展厅。</w:t>
            </w:r>
            <w:r>
              <w:rPr>
                <w:sz w:val="20"/>
                <w:szCs w:val="21"/>
              </w:rPr>
              <w:t>为“跨次元文化综合体验中心</w:t>
            </w:r>
            <w:r>
              <w:rPr>
                <w:rFonts w:hint="eastAsia"/>
                <w:sz w:val="20"/>
                <w:szCs w:val="21"/>
                <w:lang w:eastAsia="zh-CN"/>
              </w:rPr>
              <w:t>，</w:t>
            </w:r>
            <w:r>
              <w:rPr>
                <w:sz w:val="20"/>
                <w:szCs w:val="21"/>
              </w:rPr>
              <w:t>整体设计围绕“跨次元枢纽站”核心世界观展开，以“从现实踏入二次元世界的中转空间”为叙事主线，让观众从踏入场馆入口起，就完成从现实身份到次元访客的身份转换。 视觉风格采用高饱和撞色体系，提取热门动漫IP的标志性色彩，结合LED</w:t>
            </w:r>
            <w:r>
              <w:rPr>
                <w:rFonts w:hint="eastAsia"/>
                <w:sz w:val="20"/>
                <w:szCs w:val="21"/>
                <w:lang w:eastAsia="zh-CN"/>
              </w:rPr>
              <w:t>大屏幕</w:t>
            </w:r>
            <w:r>
              <w:rPr>
                <w:sz w:val="20"/>
                <w:szCs w:val="21"/>
              </w:rPr>
              <w:t>、</w:t>
            </w:r>
            <w:r>
              <w:rPr>
                <w:rFonts w:hint="eastAsia"/>
                <w:sz w:val="20"/>
                <w:szCs w:val="21"/>
                <w:lang w:eastAsia="zh-CN"/>
              </w:rPr>
              <w:t>趣味性造型动漫展柜</w:t>
            </w:r>
            <w:r>
              <w:rPr>
                <w:sz w:val="20"/>
                <w:szCs w:val="21"/>
              </w:rPr>
              <w:t>、</w:t>
            </w:r>
            <w:r>
              <w:rPr>
                <w:rFonts w:hint="eastAsia"/>
                <w:sz w:val="20"/>
                <w:szCs w:val="21"/>
                <w:lang w:eastAsia="zh-CN"/>
              </w:rPr>
              <w:t>充满艺术性的动漫展示墙</w:t>
            </w:r>
            <w:r>
              <w:rPr>
                <w:sz w:val="20"/>
                <w:szCs w:val="21"/>
              </w:rPr>
              <w:t xml:space="preserve">等，打造充满科技感与梦幻感的次元空间。 </w:t>
            </w:r>
          </w:p>
          <w:p w14:paraId="5FC45663">
            <w:pPr>
              <w:widowControl/>
              <w:numPr>
                <w:ilvl w:val="0"/>
                <w:numId w:val="2"/>
              </w:numPr>
              <w:spacing w:line="360" w:lineRule="auto"/>
              <w:ind w:left="0" w:leftChars="0" w:firstLine="0" w:firstLineChars="0"/>
              <w:jc w:val="both"/>
              <w:rPr>
                <w:rFonts w:hint="eastAsia"/>
                <w:b w:val="0"/>
                <w:bCs w:val="0"/>
                <w:sz w:val="20"/>
                <w:szCs w:val="20"/>
              </w:rPr>
            </w:pPr>
            <w:r>
              <w:rPr>
                <w:rFonts w:hint="eastAsia"/>
                <w:b w:val="0"/>
                <w:bCs w:val="0"/>
                <w:sz w:val="20"/>
                <w:szCs w:val="20"/>
              </w:rPr>
              <w:t>建设地点：柳州职业技术大学艺术学院天工楼一层及其夹层</w:t>
            </w:r>
            <w:r>
              <w:rPr>
                <w:rFonts w:hint="eastAsia"/>
                <w:b w:val="0"/>
                <w:bCs w:val="0"/>
                <w:sz w:val="20"/>
                <w:szCs w:val="20"/>
                <w:lang w:eastAsia="zh-CN"/>
              </w:rPr>
              <w:t>。</w:t>
            </w:r>
          </w:p>
          <w:p w14:paraId="68F704C5">
            <w:pPr>
              <w:widowControl/>
              <w:numPr>
                <w:ilvl w:val="0"/>
                <w:numId w:val="2"/>
              </w:numPr>
              <w:spacing w:line="360" w:lineRule="auto"/>
              <w:ind w:left="0" w:leftChars="0" w:firstLine="0" w:firstLineChars="0"/>
              <w:jc w:val="both"/>
              <w:rPr>
                <w:rFonts w:hint="eastAsia"/>
                <w:b w:val="0"/>
                <w:bCs w:val="0"/>
                <w:sz w:val="20"/>
                <w:szCs w:val="20"/>
              </w:rPr>
            </w:pPr>
            <w:r>
              <w:rPr>
                <w:rFonts w:hint="eastAsia"/>
                <w:b w:val="0"/>
                <w:bCs w:val="0"/>
                <w:sz w:val="20"/>
                <w:szCs w:val="20"/>
              </w:rPr>
              <w:t>设计范围及面积：对已经完成改造的天工楼一层及其夹层的内部装饰进行改造设计，建筑面积474 m²（以实际测量为准，详见附件1：数字融媒体中心项目装饰装修设计服务数字融媒体中心项目建筑面积图纸）。</w:t>
            </w:r>
          </w:p>
          <w:p w14:paraId="319F465A">
            <w:pPr>
              <w:widowControl/>
              <w:numPr>
                <w:ilvl w:val="0"/>
                <w:numId w:val="2"/>
              </w:numPr>
              <w:spacing w:line="360" w:lineRule="auto"/>
              <w:ind w:left="0" w:leftChars="0" w:firstLine="0" w:firstLineChars="0"/>
              <w:jc w:val="both"/>
              <w:rPr>
                <w:rFonts w:hint="eastAsia"/>
                <w:b w:val="0"/>
                <w:bCs w:val="0"/>
                <w:sz w:val="20"/>
                <w:szCs w:val="20"/>
              </w:rPr>
            </w:pPr>
            <w:r>
              <w:rPr>
                <w:rFonts w:hint="eastAsia"/>
                <w:b w:val="0"/>
                <w:bCs w:val="0"/>
                <w:sz w:val="20"/>
                <w:szCs w:val="20"/>
              </w:rPr>
              <w:t>设计范围包含全部设计工作，包括但不限于：对采购人提供的建设前期资料复核，并提出补充和完善；编制设计文件 (包</w:t>
            </w:r>
            <w:r>
              <w:rPr>
                <w:rFonts w:hint="eastAsia"/>
                <w:b w:val="0"/>
                <w:bCs w:val="0"/>
                <w:sz w:val="20"/>
                <w:szCs w:val="20"/>
                <w:highlight w:val="none"/>
              </w:rPr>
              <w:t>括方案设计、估算编制、施工图设计、施工图概算),设计文件应满足方案设计、可行性研究、施</w:t>
            </w:r>
            <w:r>
              <w:rPr>
                <w:rFonts w:hint="eastAsia"/>
                <w:b w:val="0"/>
                <w:bCs w:val="0"/>
                <w:sz w:val="20"/>
                <w:szCs w:val="20"/>
              </w:rPr>
              <w:t>工图设计等与相关单位审批和协调的需要，并提供设计配合和施工过程中的技术服务及施工现场设计服务、提供满足相关职能部门要求的相关图纸，参与竣工验收等与设计相关的全部工作。</w:t>
            </w:r>
          </w:p>
          <w:p w14:paraId="22F74105">
            <w:pPr>
              <w:widowControl/>
              <w:numPr>
                <w:ilvl w:val="0"/>
                <w:numId w:val="0"/>
              </w:numPr>
              <w:spacing w:line="360" w:lineRule="auto"/>
              <w:jc w:val="both"/>
              <w:rPr>
                <w:rFonts w:hint="default" w:eastAsiaTheme="minorEastAsia"/>
                <w:b/>
                <w:bCs/>
                <w:sz w:val="20"/>
                <w:szCs w:val="20"/>
                <w:highlight w:val="none"/>
                <w:lang w:val="en-US" w:eastAsia="zh-CN"/>
              </w:rPr>
            </w:pPr>
            <w:r>
              <w:rPr>
                <w:rFonts w:hint="eastAsia"/>
                <w:b/>
                <w:bCs/>
                <w:sz w:val="20"/>
                <w:szCs w:val="20"/>
                <w:highlight w:val="none"/>
                <w:lang w:val="en-US" w:eastAsia="zh-CN"/>
              </w:rPr>
              <w:t>报价人须在中标结果公布之日起5日内提供由住房和城乡建设部颁发的建筑行业（建筑工程）乙级及以上工程设计资质证书复印件并加盖公章。</w:t>
            </w:r>
          </w:p>
          <w:p w14:paraId="5F4299A8">
            <w:pPr>
              <w:widowControl/>
              <w:numPr>
                <w:ilvl w:val="0"/>
                <w:numId w:val="2"/>
              </w:numPr>
              <w:spacing w:line="360" w:lineRule="auto"/>
              <w:ind w:left="0" w:leftChars="0" w:firstLine="0" w:firstLineChars="0"/>
              <w:jc w:val="both"/>
              <w:rPr>
                <w:rFonts w:hint="eastAsia"/>
                <w:b w:val="0"/>
                <w:bCs w:val="0"/>
                <w:sz w:val="20"/>
                <w:szCs w:val="20"/>
              </w:rPr>
            </w:pPr>
            <w:r>
              <w:rPr>
                <w:rFonts w:hint="eastAsia"/>
                <w:b w:val="0"/>
                <w:bCs w:val="0"/>
                <w:sz w:val="20"/>
                <w:szCs w:val="20"/>
              </w:rPr>
              <w:t>设计要求</w:t>
            </w:r>
            <w:r>
              <w:rPr>
                <w:rFonts w:hint="eastAsia"/>
                <w:b w:val="0"/>
                <w:bCs w:val="0"/>
                <w:sz w:val="20"/>
                <w:szCs w:val="20"/>
                <w:lang w:eastAsia="zh-CN"/>
              </w:rPr>
              <w:t>（</w:t>
            </w:r>
            <w:r>
              <w:rPr>
                <w:rFonts w:hint="eastAsia"/>
                <w:b w:val="0"/>
                <w:bCs w:val="0"/>
                <w:sz w:val="20"/>
                <w:szCs w:val="20"/>
              </w:rPr>
              <w:t>均要求满足国家规范、标准、条例、规程和规定</w:t>
            </w:r>
            <w:r>
              <w:rPr>
                <w:rFonts w:hint="eastAsia"/>
                <w:b w:val="0"/>
                <w:bCs w:val="0"/>
                <w:sz w:val="20"/>
                <w:szCs w:val="20"/>
                <w:lang w:eastAsia="zh-CN"/>
              </w:rPr>
              <w:t>）</w:t>
            </w:r>
          </w:p>
          <w:p w14:paraId="04E212F2">
            <w:pPr>
              <w:widowControl/>
              <w:numPr>
                <w:ilvl w:val="0"/>
                <w:numId w:val="3"/>
              </w:numPr>
              <w:spacing w:line="360" w:lineRule="auto"/>
              <w:ind w:left="0" w:leftChars="0" w:firstLine="0" w:firstLineChars="0"/>
              <w:jc w:val="both"/>
              <w:rPr>
                <w:rFonts w:hint="eastAsia"/>
                <w:b w:val="0"/>
                <w:bCs w:val="0"/>
                <w:sz w:val="20"/>
                <w:szCs w:val="20"/>
              </w:rPr>
            </w:pPr>
            <w:r>
              <w:rPr>
                <w:rFonts w:hint="eastAsia"/>
                <w:b w:val="0"/>
                <w:bCs w:val="0"/>
                <w:sz w:val="20"/>
                <w:szCs w:val="20"/>
              </w:rPr>
              <w:t>建筑专业</w:t>
            </w:r>
          </w:p>
          <w:p w14:paraId="53ADFEC0">
            <w:pPr>
              <w:widowControl/>
              <w:numPr>
                <w:ilvl w:val="0"/>
                <w:numId w:val="0"/>
              </w:numPr>
              <w:spacing w:line="360" w:lineRule="auto"/>
              <w:jc w:val="both"/>
              <w:rPr>
                <w:rFonts w:hint="eastAsia"/>
                <w:b w:val="0"/>
                <w:bCs w:val="0"/>
                <w:sz w:val="20"/>
                <w:szCs w:val="20"/>
              </w:rPr>
            </w:pPr>
            <w:r>
              <w:rPr>
                <w:rFonts w:hint="eastAsia"/>
                <w:b w:val="0"/>
                <w:bCs w:val="0"/>
                <w:sz w:val="20"/>
                <w:szCs w:val="20"/>
              </w:rPr>
              <w:t>（1）完成动漫展厅全空间的功能分区规划，匹配IP展示区、互动体验区、同人社交区等专属场景的空间尺度需求。</w:t>
            </w:r>
          </w:p>
          <w:p w14:paraId="48D43C39">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（2）开展疏散体系专项设计，核算最大容纳人数、安全出口宽度、疏散</w:t>
            </w:r>
            <w:r>
              <w:rPr>
                <w:rFonts w:hint="eastAsia"/>
                <w:b w:val="0"/>
                <w:bCs w:val="0"/>
                <w:sz w:val="20"/>
                <w:szCs w:val="20"/>
                <w:lang w:eastAsia="zh-CN"/>
              </w:rPr>
              <w:t>通道</w:t>
            </w:r>
            <w:r>
              <w:rPr>
                <w:rFonts w:hint="eastAsia"/>
                <w:b w:val="0"/>
                <w:bCs w:val="0"/>
                <w:sz w:val="20"/>
                <w:szCs w:val="20"/>
              </w:rPr>
              <w:t>长度，满足公共文化建筑的防火安全要求。</w:t>
            </w:r>
          </w:p>
          <w:p w14:paraId="34ACB867">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（3）完成地面荷载、室内净高、无障碍设施等专项设计，适配沉浸式设备、大型手办展陈的安装摆放需求。</w:t>
            </w:r>
          </w:p>
          <w:p w14:paraId="4D5CFD9E">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（4）同步完成建筑防火构造、二次消防优化设计，配合后续消防审查与验收流程。</w:t>
            </w:r>
          </w:p>
          <w:p w14:paraId="1EDC152D">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2、给排水专业</w:t>
            </w:r>
          </w:p>
          <w:p w14:paraId="691BA1A0">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（1）完成动漫展厅全区域给水系统规划，覆盖公共饮水点、卫生间、主题餐饮区等用水点位的管线布局设计。</w:t>
            </w:r>
          </w:p>
          <w:p w14:paraId="13809053">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（2）设计完整的污废水收集与排放系统，适配展厅日常运营的排水需求，避免返溢、堵塞问题。</w:t>
            </w:r>
          </w:p>
          <w:p w14:paraId="2A1DAEF9">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（3）完成展厅区域防水专项设计，重点覆盖卫生间、茶水间、设备机房等涉水区域，明确防水构造与施工要求。</w:t>
            </w:r>
          </w:p>
          <w:p w14:paraId="0E5105C9">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（4）配套完成展厅消防给排水系统优化设计，配合二次消防审查与验收流程，满足公共文化空间的防火安全要求。</w:t>
            </w:r>
          </w:p>
          <w:p w14:paraId="4A04D1DE">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3、电气专业</w:t>
            </w:r>
          </w:p>
          <w:p w14:paraId="14B681DC">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（1）完成全展厅供配电系统规划，覆盖展陈设备、互动装置、照明系统的用电点位布局与负荷核算。</w:t>
            </w:r>
          </w:p>
          <w:p w14:paraId="0D3B4AD4">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（2）设计专项智能照明控制系统，适配动漫展厅不同主题展区的动态光影切换需求。（3）完成信息网络、弱电系统布线设计，保障AR/VR设备、直播推流、智能终端的通信稳定性。</w:t>
            </w:r>
          </w:p>
          <w:p w14:paraId="1DD09F38">
            <w:pPr>
              <w:widowControl/>
              <w:numPr>
                <w:ilvl w:val="0"/>
                <w:numId w:val="0"/>
              </w:numPr>
              <w:spacing w:line="360" w:lineRule="auto"/>
              <w:ind w:leftChars="0"/>
              <w:jc w:val="both"/>
              <w:rPr>
                <w:rFonts w:hint="eastAsia"/>
                <w:b w:val="0"/>
                <w:bCs w:val="0"/>
                <w:sz w:val="20"/>
                <w:szCs w:val="20"/>
              </w:rPr>
            </w:pPr>
            <w:r>
              <w:rPr>
                <w:rFonts w:hint="eastAsia"/>
                <w:b w:val="0"/>
                <w:bCs w:val="0"/>
                <w:sz w:val="20"/>
                <w:szCs w:val="20"/>
              </w:rPr>
              <w:t>（4）配套完善防雷接地、剩余电流保护等安全防护设计，满足公共文化空间的电气安全要求。</w:t>
            </w:r>
          </w:p>
          <w:p w14:paraId="1D982DF1">
            <w:pPr>
              <w:widowControl/>
              <w:spacing w:line="360" w:lineRule="auto"/>
              <w:ind w:left="0" w:leftChars="0" w:firstLine="0" w:firstLineChars="0"/>
              <w:jc w:val="both"/>
              <w:rPr>
                <w:rFonts w:hint="eastAsia"/>
                <w:b w:val="0"/>
                <w:bCs w:val="0"/>
                <w:sz w:val="20"/>
                <w:szCs w:val="20"/>
              </w:rPr>
            </w:pPr>
            <w:r>
              <w:rPr>
                <w:rFonts w:hint="eastAsia"/>
                <w:b w:val="0"/>
                <w:bCs w:val="0"/>
                <w:sz w:val="20"/>
                <w:szCs w:val="20"/>
              </w:rPr>
              <w:t>二、提交要求</w:t>
            </w:r>
          </w:p>
          <w:p w14:paraId="522F8793">
            <w:pPr>
              <w:widowControl/>
              <w:spacing w:line="360" w:lineRule="auto"/>
              <w:ind w:left="0" w:leftChars="0" w:firstLine="0" w:firstLineChars="0"/>
              <w:jc w:val="both"/>
              <w:rPr>
                <w:rFonts w:hint="eastAsia"/>
                <w:b w:val="0"/>
                <w:bCs w:val="0"/>
                <w:sz w:val="20"/>
                <w:szCs w:val="20"/>
                <w:lang w:val="en-US" w:eastAsia="zh-CN"/>
              </w:rPr>
            </w:pPr>
            <w:r>
              <w:rPr>
                <w:rFonts w:hint="eastAsia"/>
                <w:b w:val="0"/>
                <w:bCs w:val="0"/>
                <w:sz w:val="20"/>
                <w:szCs w:val="20"/>
              </w:rPr>
              <w:t>1.设计成果文件</w:t>
            </w:r>
            <w:r>
              <w:rPr>
                <w:rFonts w:hint="eastAsia"/>
                <w:b w:val="0"/>
                <w:bCs w:val="0"/>
                <w:sz w:val="20"/>
                <w:szCs w:val="20"/>
                <w:lang w:val="en-US" w:eastAsia="zh-CN"/>
              </w:rPr>
              <w:t>一套</w:t>
            </w:r>
          </w:p>
          <w:p w14:paraId="7ECB0E95">
            <w:pPr>
              <w:widowControl/>
              <w:spacing w:line="360" w:lineRule="auto"/>
              <w:ind w:left="0" w:leftChars="0" w:firstLine="0" w:firstLineChars="0"/>
              <w:jc w:val="both"/>
              <w:rPr>
                <w:rFonts w:hint="eastAsia" w:eastAsiaTheme="minorEastAsia"/>
                <w:b w:val="0"/>
                <w:bCs w:val="0"/>
                <w:sz w:val="20"/>
                <w:szCs w:val="20"/>
                <w:lang w:val="en-US" w:eastAsia="zh-CN"/>
              </w:rPr>
            </w:pPr>
            <w:r>
              <w:rPr>
                <w:rFonts w:hint="eastAsia"/>
                <w:b w:val="0"/>
                <w:bCs w:val="0"/>
                <w:sz w:val="20"/>
                <w:szCs w:val="20"/>
              </w:rPr>
              <w:t>提供全套设计图纸，包括但不限于平面规划全案设计（含平面图、立面图、剖面图）、方案效果图、整体全景漫游动画效果、施工图深化设计 (含平面布置图、家具尺寸图、地面铺贴图、顶面布置图、给水布置图、强电弱电插座布置图、开关布置图、灯光定位图、立面图、大样图、剖面图、节点图)等的矢量源文件(CAD格式)、高清位图(PDF/PNG格式),以及全案造价预算书(EXCEL/PDF格式)。</w:t>
            </w:r>
            <w:r>
              <w:rPr>
                <w:rFonts w:hint="eastAsia"/>
                <w:b w:val="0"/>
                <w:bCs w:val="0"/>
                <w:sz w:val="20"/>
                <w:szCs w:val="20"/>
                <w:lang w:val="en-US" w:eastAsia="zh-CN"/>
              </w:rPr>
              <w:t xml:space="preserve"> </w:t>
            </w:r>
          </w:p>
          <w:p w14:paraId="28186951">
            <w:pPr>
              <w:widowControl/>
              <w:spacing w:line="360" w:lineRule="auto"/>
              <w:ind w:left="0" w:leftChars="0" w:firstLine="0" w:firstLineChars="0"/>
              <w:jc w:val="both"/>
              <w:rPr>
                <w:rFonts w:hint="eastAsia" w:eastAsiaTheme="minorEastAsia"/>
                <w:b w:val="0"/>
                <w:bCs w:val="0"/>
                <w:sz w:val="20"/>
                <w:szCs w:val="20"/>
                <w:lang w:val="en-US" w:eastAsia="zh-CN"/>
              </w:rPr>
            </w:pPr>
            <w:r>
              <w:rPr>
                <w:rFonts w:hint="eastAsia"/>
                <w:b w:val="0"/>
                <w:bCs w:val="0"/>
                <w:sz w:val="20"/>
                <w:szCs w:val="20"/>
              </w:rPr>
              <w:t>2.技术说明文档</w:t>
            </w:r>
            <w:r>
              <w:rPr>
                <w:rFonts w:hint="eastAsia"/>
                <w:b w:val="0"/>
                <w:bCs w:val="0"/>
                <w:sz w:val="20"/>
                <w:szCs w:val="20"/>
                <w:lang w:val="en-US" w:eastAsia="zh-CN"/>
              </w:rPr>
              <w:t>一套</w:t>
            </w:r>
          </w:p>
          <w:p w14:paraId="7AFD997D">
            <w:pPr>
              <w:widowControl/>
              <w:spacing w:line="360" w:lineRule="auto"/>
              <w:ind w:left="0" w:leftChars="0" w:firstLine="0" w:firstLineChars="0"/>
              <w:jc w:val="both"/>
              <w:rPr>
                <w:rFonts w:hint="eastAsia"/>
                <w:b w:val="0"/>
                <w:bCs w:val="0"/>
                <w:sz w:val="20"/>
                <w:szCs w:val="20"/>
              </w:rPr>
            </w:pPr>
            <w:r>
              <w:rPr>
                <w:rFonts w:hint="eastAsia"/>
                <w:b w:val="0"/>
                <w:bCs w:val="0"/>
                <w:sz w:val="20"/>
                <w:szCs w:val="20"/>
              </w:rPr>
              <w:t>(1)附设计说明文件，阐述设计理念、材料选型依据、工艺标准及安全规范适配方案；</w:t>
            </w:r>
          </w:p>
          <w:p w14:paraId="5F86C3B9">
            <w:pPr>
              <w:widowControl/>
              <w:spacing w:line="360" w:lineRule="auto"/>
              <w:ind w:left="0" w:leftChars="0" w:firstLine="0" w:firstLineChars="0"/>
              <w:jc w:val="both"/>
              <w:rPr>
                <w:rFonts w:hint="eastAsia"/>
                <w:b w:val="0"/>
                <w:bCs w:val="0"/>
                <w:sz w:val="20"/>
                <w:szCs w:val="20"/>
              </w:rPr>
            </w:pPr>
            <w:r>
              <w:rPr>
                <w:rFonts w:hint="eastAsia"/>
                <w:b w:val="0"/>
                <w:bCs w:val="0"/>
                <w:sz w:val="20"/>
                <w:szCs w:val="20"/>
              </w:rPr>
              <w:t>(2)提供施工可行性分析及关键节点工艺说明。</w:t>
            </w:r>
          </w:p>
          <w:p w14:paraId="677CEF34">
            <w:pPr>
              <w:widowControl/>
              <w:spacing w:line="360" w:lineRule="auto"/>
              <w:ind w:left="0" w:leftChars="0" w:firstLine="0" w:firstLineChars="0"/>
              <w:jc w:val="both"/>
              <w:rPr>
                <w:rFonts w:hint="eastAsia"/>
                <w:b w:val="0"/>
                <w:bCs w:val="0"/>
                <w:sz w:val="20"/>
                <w:szCs w:val="20"/>
              </w:rPr>
            </w:pPr>
            <w:r>
              <w:rPr>
                <w:rFonts w:hint="eastAsia"/>
                <w:b w:val="0"/>
                <w:bCs w:val="0"/>
                <w:sz w:val="20"/>
                <w:szCs w:val="20"/>
              </w:rPr>
              <w:t>3.提交方式</w:t>
            </w:r>
          </w:p>
          <w:p w14:paraId="46C36D9B">
            <w:pPr>
              <w:widowControl/>
              <w:spacing w:line="360" w:lineRule="auto"/>
              <w:ind w:left="0" w:leftChars="0" w:firstLine="0" w:firstLineChars="0"/>
              <w:jc w:val="both"/>
              <w:rPr>
                <w:rFonts w:hint="eastAsia"/>
                <w:b w:val="0"/>
                <w:bCs w:val="0"/>
                <w:sz w:val="20"/>
                <w:szCs w:val="20"/>
              </w:rPr>
            </w:pPr>
            <w:r>
              <w:rPr>
                <w:rFonts w:hint="eastAsia"/>
                <w:b w:val="0"/>
                <w:bCs w:val="0"/>
                <w:sz w:val="20"/>
                <w:szCs w:val="20"/>
              </w:rPr>
              <w:t>所有成品一式两份用U盘或移动硬盘拷贝后交付，U盘或移动硬盘（必须是带原厂正规包装且原厂质保期不低于三年，接口为USB3.0及以上），否则不予接收</w:t>
            </w:r>
            <w:r>
              <w:rPr>
                <w:rFonts w:hint="eastAsia"/>
                <w:b w:val="0"/>
                <w:bCs w:val="0"/>
                <w:sz w:val="20"/>
                <w:szCs w:val="20"/>
                <w:lang w:eastAsia="zh-CN"/>
              </w:rPr>
              <w:t>，</w:t>
            </w:r>
            <w:r>
              <w:rPr>
                <w:rFonts w:hint="eastAsia"/>
                <w:b w:val="0"/>
                <w:bCs w:val="0"/>
                <w:sz w:val="20"/>
                <w:szCs w:val="20"/>
              </w:rPr>
              <w:t>交至采购人指定地点。</w:t>
            </w:r>
          </w:p>
          <w:p w14:paraId="59782BE4">
            <w:pPr>
              <w:widowControl/>
              <w:spacing w:line="360" w:lineRule="auto"/>
              <w:ind w:left="0" w:leftChars="0" w:firstLine="0" w:firstLineChars="0"/>
              <w:jc w:val="both"/>
              <w:rPr>
                <w:rFonts w:hint="default" w:eastAsiaTheme="minorEastAsia"/>
                <w:b w:val="0"/>
                <w:bCs w:val="0"/>
                <w:sz w:val="20"/>
                <w:szCs w:val="20"/>
                <w:lang w:val="en-US" w:eastAsia="zh-CN"/>
              </w:rPr>
            </w:pPr>
            <w:r>
              <w:rPr>
                <w:rFonts w:hint="eastAsia"/>
                <w:b w:val="0"/>
                <w:bCs w:val="0"/>
                <w:sz w:val="20"/>
                <w:szCs w:val="20"/>
                <w:lang w:val="en-US" w:eastAsia="zh-CN"/>
              </w:rPr>
              <w:t>三、其他要求</w:t>
            </w:r>
          </w:p>
          <w:p w14:paraId="6789F049">
            <w:pPr>
              <w:widowControl/>
              <w:spacing w:line="360" w:lineRule="auto"/>
              <w:ind w:left="0" w:leftChars="0" w:firstLine="0" w:firstLineChars="0"/>
              <w:jc w:val="both"/>
              <w:rPr>
                <w:rFonts w:hint="eastAsia"/>
                <w:b w:val="0"/>
                <w:bCs w:val="0"/>
                <w:sz w:val="20"/>
                <w:szCs w:val="20"/>
              </w:rPr>
            </w:pPr>
            <w:r>
              <w:rPr>
                <w:rFonts w:hint="eastAsia"/>
                <w:b w:val="0"/>
                <w:bCs w:val="0"/>
                <w:sz w:val="20"/>
                <w:szCs w:val="20"/>
              </w:rPr>
              <w:t>本项目不统一组织现场踏勘。报价人如需了解项目现场实际情况，可自行联系采购人进行现场踏勘。</w:t>
            </w:r>
          </w:p>
        </w:tc>
        <w:tc>
          <w:tcPr>
            <w:tcW w:w="709" w:type="dxa"/>
            <w:tcBorders>
              <w:top w:val="single" w:color="auto" w:sz="4" w:space="0"/>
              <w:left w:val="single" w:color="auto" w:sz="4" w:space="0"/>
              <w:bottom w:val="single" w:color="auto" w:sz="4" w:space="0"/>
              <w:right w:val="single" w:color="auto" w:sz="4" w:space="0"/>
            </w:tcBorders>
            <w:vAlign w:val="top"/>
          </w:tcPr>
          <w:p w14:paraId="49F53883">
            <w:pPr>
              <w:widowControl/>
              <w:jc w:val="both"/>
              <w:rPr>
                <w:rFonts w:hint="eastAsia" w:ascii="宋体" w:hAnsi="宋体" w:cs="宋体" w:eastAsiaTheme="minorEastAsia"/>
                <w:b w:val="0"/>
                <w:bCs w:val="0"/>
                <w:color w:val="000000"/>
                <w:kern w:val="0"/>
                <w:sz w:val="21"/>
                <w:szCs w:val="21"/>
                <w:lang w:val="en-US" w:eastAsia="zh-CN"/>
              </w:rPr>
            </w:pPr>
            <w:r>
              <w:rPr>
                <w:rFonts w:hint="eastAsia" w:ascii="宋体" w:hAnsi="宋体" w:cs="宋体"/>
                <w:b w:val="0"/>
                <w:bCs w:val="0"/>
                <w:color w:val="000000"/>
                <w:kern w:val="0"/>
                <w:sz w:val="21"/>
                <w:szCs w:val="21"/>
                <w:lang w:val="en-US" w:eastAsia="zh-CN"/>
              </w:rPr>
              <w:t>项</w:t>
            </w:r>
          </w:p>
        </w:tc>
        <w:tc>
          <w:tcPr>
            <w:tcW w:w="850" w:type="dxa"/>
            <w:tcBorders>
              <w:top w:val="single" w:color="auto" w:sz="4" w:space="0"/>
              <w:left w:val="single" w:color="auto" w:sz="4" w:space="0"/>
              <w:bottom w:val="single" w:color="auto" w:sz="4" w:space="0"/>
              <w:right w:val="single" w:color="auto" w:sz="4" w:space="0"/>
            </w:tcBorders>
            <w:vAlign w:val="top"/>
          </w:tcPr>
          <w:p w14:paraId="184CD4FC">
            <w:pPr>
              <w:widowControl/>
              <w:jc w:val="both"/>
              <w:rPr>
                <w:rFonts w:hint="eastAsia" w:ascii="宋体" w:hAnsi="宋体" w:cs="宋体" w:eastAsiaTheme="minorEastAsia"/>
                <w:b w:val="0"/>
                <w:bCs w:val="0"/>
                <w:color w:val="000000"/>
                <w:kern w:val="0"/>
                <w:sz w:val="21"/>
                <w:szCs w:val="21"/>
                <w:lang w:val="en-US" w:eastAsia="zh-CN"/>
              </w:rPr>
            </w:pPr>
            <w:r>
              <w:rPr>
                <w:rFonts w:hint="eastAsia" w:ascii="宋体" w:hAnsi="宋体" w:cs="宋体"/>
                <w:b w:val="0"/>
                <w:bCs w:val="0"/>
                <w:color w:val="000000"/>
                <w:kern w:val="0"/>
                <w:sz w:val="21"/>
                <w:szCs w:val="21"/>
                <w:lang w:val="en-US" w:eastAsia="zh-CN"/>
              </w:rPr>
              <w:t>1</w:t>
            </w:r>
          </w:p>
        </w:tc>
      </w:tr>
      <w:tr w14:paraId="5C71D1ED">
        <w:tblPrEx>
          <w:tblCellMar>
            <w:top w:w="0" w:type="dxa"/>
            <w:left w:w="108" w:type="dxa"/>
            <w:bottom w:w="0" w:type="dxa"/>
            <w:right w:w="108" w:type="dxa"/>
          </w:tblCellMar>
        </w:tblPrEx>
        <w:trPr>
          <w:trHeight w:val="972" w:hRule="atLeast"/>
        </w:trPr>
        <w:tc>
          <w:tcPr>
            <w:tcW w:w="1404" w:type="dxa"/>
            <w:gridSpan w:val="2"/>
            <w:tcBorders>
              <w:top w:val="nil"/>
              <w:left w:val="single" w:color="auto" w:sz="4" w:space="0"/>
              <w:bottom w:val="nil"/>
              <w:right w:val="single" w:color="auto" w:sz="4" w:space="0"/>
            </w:tcBorders>
          </w:tcPr>
          <w:p w14:paraId="6D2E65CC">
            <w:pPr>
              <w:widowControl/>
              <w:rPr>
                <w:szCs w:val="21"/>
              </w:rPr>
            </w:pPr>
            <w:r>
              <w:rPr>
                <w:szCs w:val="21"/>
              </w:rPr>
              <w:t>商务要求</w:t>
            </w:r>
          </w:p>
        </w:tc>
        <w:tc>
          <w:tcPr>
            <w:tcW w:w="8343" w:type="dxa"/>
            <w:gridSpan w:val="3"/>
            <w:tcBorders>
              <w:top w:val="nil"/>
              <w:left w:val="nil"/>
              <w:bottom w:val="nil"/>
              <w:right w:val="single" w:color="auto" w:sz="4" w:space="0"/>
            </w:tcBorders>
            <w:vAlign w:val="top"/>
          </w:tcPr>
          <w:p w14:paraId="52D64F8C">
            <w:pPr>
              <w:spacing w:line="360" w:lineRule="auto"/>
              <w:jc w:val="left"/>
              <w:rPr>
                <w:rFonts w:cs="Times New Roman"/>
                <w:sz w:val="21"/>
                <w:szCs w:val="21"/>
              </w:rPr>
            </w:pPr>
            <w:r>
              <w:rPr>
                <w:rFonts w:hint="eastAsia" w:cs="Times New Roman"/>
                <w:sz w:val="21"/>
                <w:szCs w:val="21"/>
              </w:rPr>
              <w:t>1.</w:t>
            </w:r>
            <w:r>
              <w:rPr>
                <w:rFonts w:hint="eastAsia" w:cs="Times New Roman"/>
                <w:b w:val="0"/>
                <w:bCs w:val="0"/>
                <w:sz w:val="21"/>
                <w:szCs w:val="21"/>
              </w:rPr>
              <w:t>服务交付时间：</w:t>
            </w:r>
            <w:r>
              <w:rPr>
                <w:rFonts w:hint="eastAsia" w:cs="Times New Roman"/>
                <w:sz w:val="21"/>
                <w:szCs w:val="21"/>
                <w:lang w:val="en-US" w:eastAsia="zh-CN"/>
              </w:rPr>
              <w:t>自合同签订之日起</w:t>
            </w:r>
            <w:r>
              <w:rPr>
                <w:rFonts w:hint="eastAsia"/>
                <w:lang w:val="en-US" w:eastAsia="zh-CN"/>
              </w:rPr>
              <w:t>采购人15日内提交施工图设计成果。</w:t>
            </w:r>
          </w:p>
          <w:p w14:paraId="68975E83">
            <w:pPr>
              <w:pStyle w:val="5"/>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58B310B5">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w:t>
            </w:r>
            <w:r>
              <w:rPr>
                <w:rFonts w:hint="eastAsia" w:ascii="宋体" w:hAnsi="宋体"/>
                <w:color w:val="auto"/>
                <w:kern w:val="0"/>
                <w:szCs w:val="22"/>
                <w:lang w:val="en-US" w:eastAsia="zh-CN"/>
              </w:rPr>
              <w:t>服务</w:t>
            </w:r>
            <w:r>
              <w:rPr>
                <w:rFonts w:ascii="宋体" w:hAnsi="宋体"/>
                <w:color w:val="auto"/>
                <w:kern w:val="0"/>
                <w:szCs w:val="22"/>
              </w:rPr>
              <w:t>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66BF388E">
            <w:pPr>
              <w:pStyle w:val="5"/>
              <w:rPr>
                <w:rFonts w:hint="eastAsia" w:cs="Times New Roman" w:eastAsiaTheme="minorEastAsia"/>
                <w:sz w:val="21"/>
                <w:szCs w:val="21"/>
                <w:lang w:eastAsia="zh-CN"/>
              </w:rPr>
            </w:pPr>
            <w:r>
              <w:rPr>
                <w:rFonts w:hint="eastAsia" w:ascii="宋体" w:hAnsi="宋体"/>
                <w:color w:val="auto"/>
                <w:kern w:val="0"/>
                <w:szCs w:val="22"/>
                <w:lang w:val="en-US" w:eastAsia="zh-CN"/>
              </w:rPr>
              <w:t>（2）</w:t>
            </w:r>
            <w:r>
              <w:rPr>
                <w:rFonts w:hint="eastAsia" w:cs="Times New Roman"/>
                <w:sz w:val="21"/>
                <w:szCs w:val="21"/>
              </w:rPr>
              <w:t>电话、线上咨询。报价人为采购人提供技术援助，解答采购人在使用中遇到的问题，及时为采购人提出解决问题的方案。提供7</w:t>
            </w:r>
            <w:r>
              <w:rPr>
                <w:rFonts w:hint="default" w:ascii="Arial" w:hAnsi="Arial" w:cs="Arial"/>
                <w:sz w:val="21"/>
                <w:szCs w:val="21"/>
              </w:rPr>
              <w:t>×</w:t>
            </w:r>
            <w:r>
              <w:rPr>
                <w:rFonts w:hint="eastAsia" w:cs="Times New Roman"/>
                <w:sz w:val="21"/>
                <w:szCs w:val="21"/>
              </w:rPr>
              <w:t>24小时售后服务，并提供售后服务电话</w:t>
            </w:r>
            <w:r>
              <w:rPr>
                <w:rFonts w:hint="eastAsia" w:cs="Times New Roman"/>
                <w:sz w:val="21"/>
                <w:szCs w:val="21"/>
                <w:lang w:eastAsia="zh-CN"/>
              </w:rPr>
              <w:t>。</w:t>
            </w:r>
          </w:p>
          <w:p w14:paraId="0BCB99B4">
            <w:pPr>
              <w:pStyle w:val="5"/>
              <w:rPr>
                <w:rFonts w:hint="default" w:cs="Times New Roman"/>
                <w:color w:val="auto"/>
                <w:sz w:val="21"/>
                <w:szCs w:val="21"/>
                <w:lang w:val="en-US" w:eastAsia="zh-CN"/>
              </w:rPr>
            </w:pPr>
            <w:r>
              <w:rPr>
                <w:rFonts w:hint="eastAsia" w:cs="Times New Roman"/>
                <w:color w:val="auto"/>
                <w:sz w:val="21"/>
                <w:szCs w:val="21"/>
                <w:lang w:val="en-US" w:eastAsia="zh-CN"/>
              </w:rPr>
              <w:t>3.知识产权</w:t>
            </w:r>
          </w:p>
          <w:p w14:paraId="30EFC518">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w:t>
            </w:r>
            <w:r>
              <w:rPr>
                <w:rFonts w:hint="eastAsia" w:cs="Times New Roman"/>
                <w:color w:val="auto"/>
                <w:sz w:val="21"/>
                <w:szCs w:val="21"/>
                <w:lang w:val="en-US" w:eastAsia="zh-CN"/>
              </w:rPr>
              <w:t>采购人</w:t>
            </w:r>
            <w:r>
              <w:rPr>
                <w:rFonts w:hint="eastAsia" w:cs="Times New Roman"/>
                <w:color w:val="auto"/>
                <w:sz w:val="21"/>
                <w:szCs w:val="21"/>
              </w:rPr>
              <w:t>的书面许可，报价人不得以任何方式商业性地利用上述资料和技术。</w:t>
            </w:r>
          </w:p>
          <w:p w14:paraId="43AE8209">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w:t>
            </w:r>
            <w:r>
              <w:rPr>
                <w:rFonts w:hint="eastAsia" w:cs="Times New Roman"/>
                <w:color w:val="auto"/>
                <w:sz w:val="21"/>
                <w:szCs w:val="21"/>
                <w:lang w:eastAsia="zh-CN"/>
              </w:rPr>
              <w:t>承担</w:t>
            </w:r>
            <w:r>
              <w:rPr>
                <w:rFonts w:hint="eastAsia" w:cs="Times New Roman"/>
                <w:color w:val="auto"/>
                <w:sz w:val="21"/>
                <w:szCs w:val="21"/>
              </w:rPr>
              <w:t>相关责任并赔偿采购人经济损失。</w:t>
            </w:r>
          </w:p>
          <w:p w14:paraId="1BD10D44">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w:t>
            </w:r>
            <w:r>
              <w:rPr>
                <w:rFonts w:hint="eastAsia"/>
                <w:lang w:eastAsia="zh-CN"/>
              </w:rPr>
              <w:t>设计服务</w:t>
            </w:r>
            <w:r>
              <w:rPr>
                <w:rFonts w:hint="eastAsia" w:ascii="宋体" w:hAnsi="宋体"/>
                <w:color w:val="auto"/>
                <w:kern w:val="0"/>
                <w:szCs w:val="22"/>
                <w:lang w:eastAsia="zh-CN"/>
              </w:rPr>
              <w:t>涉及</w:t>
            </w:r>
            <w:r>
              <w:rPr>
                <w:rFonts w:ascii="宋体" w:hAnsi="宋体"/>
                <w:color w:val="auto"/>
                <w:kern w:val="0"/>
                <w:szCs w:val="22"/>
              </w:rPr>
              <w:t>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6D41A1E0">
            <w:pPr>
              <w:widowControl/>
              <w:numPr>
                <w:ilvl w:val="0"/>
                <w:numId w:val="0"/>
              </w:numPr>
              <w:adjustRightInd w:val="0"/>
              <w:snapToGrid w:val="0"/>
              <w:spacing w:line="520" w:lineRule="exact"/>
              <w:jc w:val="left"/>
              <w:rPr>
                <w:rFonts w:hint="eastAsia" w:ascii="Arial" w:hAnsi="Arial" w:eastAsia="宋体" w:cs="Arial"/>
                <w:b w:val="0"/>
                <w:bCs w:val="0"/>
                <w:color w:val="auto"/>
                <w:kern w:val="0"/>
                <w:sz w:val="21"/>
                <w:szCs w:val="21"/>
                <w:lang w:val="en-US" w:eastAsia="zh-CN"/>
              </w:rPr>
            </w:pPr>
            <w:r>
              <w:rPr>
                <w:rFonts w:hint="eastAsia" w:ascii="Arial" w:hAnsi="Arial" w:eastAsia="宋体" w:cs="Arial"/>
                <w:b w:val="0"/>
                <w:bCs w:val="0"/>
                <w:color w:val="auto"/>
                <w:kern w:val="0"/>
                <w:sz w:val="21"/>
                <w:szCs w:val="21"/>
                <w:lang w:val="en-US" w:eastAsia="zh-CN"/>
              </w:rPr>
              <w:t>4.</w:t>
            </w:r>
            <w:r>
              <w:rPr>
                <w:rFonts w:ascii="Arial" w:hAnsi="Arial" w:eastAsia="宋体" w:cs="Arial"/>
                <w:b w:val="0"/>
                <w:bCs w:val="0"/>
                <w:color w:val="auto"/>
                <w:kern w:val="0"/>
                <w:sz w:val="21"/>
                <w:szCs w:val="21"/>
              </w:rPr>
              <w:t>付款</w:t>
            </w:r>
            <w:r>
              <w:rPr>
                <w:rFonts w:hint="eastAsia" w:ascii="Arial" w:hAnsi="Arial" w:eastAsia="宋体" w:cs="Arial"/>
                <w:b w:val="0"/>
                <w:bCs w:val="0"/>
                <w:color w:val="auto"/>
                <w:kern w:val="0"/>
                <w:sz w:val="21"/>
                <w:szCs w:val="21"/>
                <w:lang w:val="en-US" w:eastAsia="zh-CN"/>
              </w:rPr>
              <w:t>要求</w:t>
            </w:r>
          </w:p>
          <w:p w14:paraId="6D848F9F">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w:t>
            </w:r>
            <w:r>
              <w:rPr>
                <w:rFonts w:hint="eastAsia" w:ascii="Arial" w:hAnsi="Arial" w:eastAsia="宋体" w:cs="Arial"/>
                <w:color w:val="auto"/>
                <w:kern w:val="0"/>
                <w:sz w:val="21"/>
                <w:szCs w:val="21"/>
              </w:rPr>
              <w:t>合同中所有的设计服务</w:t>
            </w:r>
            <w:r>
              <w:rPr>
                <w:rFonts w:hint="eastAsia" w:ascii="Arial" w:hAnsi="Arial" w:eastAsia="宋体" w:cs="Arial"/>
                <w:color w:val="auto"/>
                <w:kern w:val="0"/>
                <w:sz w:val="21"/>
                <w:szCs w:val="21"/>
                <w:lang w:val="en-US" w:eastAsia="zh-CN"/>
              </w:rPr>
              <w:t>内容</w:t>
            </w:r>
            <w:r>
              <w:rPr>
                <w:rFonts w:hint="eastAsia" w:ascii="Arial" w:hAnsi="Arial" w:eastAsia="宋体" w:cs="Arial"/>
                <w:color w:val="auto"/>
                <w:kern w:val="0"/>
                <w:sz w:val="21"/>
                <w:szCs w:val="21"/>
              </w:rPr>
              <w:t>经采购人验收合格后</w:t>
            </w:r>
            <w:r>
              <w:rPr>
                <w:rFonts w:ascii="Arial" w:hAnsi="Arial" w:eastAsia="宋体" w:cs="Arial"/>
                <w:color w:val="auto"/>
                <w:kern w:val="0"/>
                <w:sz w:val="21"/>
                <w:szCs w:val="21"/>
              </w:rPr>
              <w:t>，被选中的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w:t>
            </w:r>
            <w:r>
              <w:rPr>
                <w:rFonts w:hint="eastAsia" w:cs="Arial" w:asciiTheme="majorEastAsia" w:hAnsiTheme="majorEastAsia" w:eastAsiaTheme="majorEastAsia"/>
                <w:color w:val="auto"/>
                <w:kern w:val="0"/>
                <w:sz w:val="21"/>
                <w:szCs w:val="21"/>
                <w:lang w:eastAsia="zh-CN"/>
              </w:rPr>
              <w:t>协商</w:t>
            </w:r>
            <w:r>
              <w:rPr>
                <w:rFonts w:hint="eastAsia" w:cs="Arial" w:asciiTheme="majorEastAsia" w:hAnsiTheme="majorEastAsia" w:eastAsiaTheme="majorEastAsia"/>
                <w:color w:val="auto"/>
                <w:kern w:val="0"/>
                <w:sz w:val="21"/>
                <w:szCs w:val="21"/>
              </w:rPr>
              <w:t>。</w:t>
            </w:r>
          </w:p>
          <w:p w14:paraId="1BEFAF08">
            <w:pPr>
              <w:pStyle w:val="5"/>
              <w:spacing w:line="360" w:lineRule="auto"/>
              <w:rPr>
                <w:rFonts w:hint="eastAsia" w:cs="Times New Roman"/>
                <w:b w:val="0"/>
                <w:bCs w:val="0"/>
                <w:color w:val="auto"/>
                <w:sz w:val="21"/>
                <w:szCs w:val="21"/>
                <w:lang w:val="en-US" w:eastAsia="zh-CN"/>
              </w:rPr>
            </w:pPr>
            <w:r>
              <w:rPr>
                <w:rFonts w:hint="eastAsia" w:ascii="Arial" w:hAnsi="Arial" w:eastAsia="宋体" w:cs="Arial"/>
                <w:b w:val="0"/>
                <w:bCs w:val="0"/>
                <w:color w:val="auto"/>
                <w:kern w:val="0"/>
                <w:sz w:val="21"/>
                <w:szCs w:val="21"/>
                <w:lang w:val="en-US" w:eastAsia="zh-CN"/>
              </w:rPr>
              <w:t>5.</w:t>
            </w:r>
            <w:r>
              <w:rPr>
                <w:rFonts w:hint="eastAsia" w:cs="Times New Roman"/>
                <w:b w:val="0"/>
                <w:bCs w:val="0"/>
                <w:color w:val="auto"/>
                <w:sz w:val="21"/>
                <w:szCs w:val="21"/>
                <w:lang w:val="en-US" w:eastAsia="zh-CN"/>
              </w:rPr>
              <w:t>验收要求</w:t>
            </w:r>
          </w:p>
          <w:p w14:paraId="4FB52340">
            <w:pPr>
              <w:pStyle w:val="5"/>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w:t>
            </w:r>
            <w:r>
              <w:rPr>
                <w:rFonts w:hint="eastAsia" w:ascii="Arial" w:hAnsi="Arial" w:eastAsia="宋体" w:cs="Arial"/>
                <w:i w:val="0"/>
                <w:iCs w:val="0"/>
                <w:caps w:val="0"/>
                <w:color w:val="000000"/>
                <w:spacing w:val="0"/>
                <w:sz w:val="21"/>
                <w:szCs w:val="21"/>
                <w:shd w:val="clear" w:fill="FFFFFF"/>
              </w:rPr>
              <w:t>现行设计技术规范的相关要求</w:t>
            </w:r>
            <w:r>
              <w:rPr>
                <w:rFonts w:hint="eastAsia" w:ascii="Arial" w:hAnsi="Arial" w:eastAsia="宋体" w:cs="Arial"/>
                <w:i w:val="0"/>
                <w:iCs w:val="0"/>
                <w:caps w:val="0"/>
                <w:color w:val="000000"/>
                <w:spacing w:val="0"/>
                <w:sz w:val="21"/>
                <w:szCs w:val="21"/>
                <w:shd w:val="clear" w:fill="FFFFFF"/>
                <w:lang w:eastAsia="zh-CN"/>
              </w:rPr>
              <w:t>、</w:t>
            </w:r>
            <w:r>
              <w:rPr>
                <w:rFonts w:hint="eastAsia" w:cs="Times New Roman"/>
                <w:color w:val="auto"/>
                <w:sz w:val="21"/>
                <w:szCs w:val="21"/>
                <w:lang w:val="en-US" w:eastAsia="zh-CN"/>
              </w:rPr>
              <w:t>国家安全质量标准、环保标准或行业标准；②符合采购文件和应标文件承诺中采购人认可的合理最佳配置、参数及各项要求。</w:t>
            </w:r>
          </w:p>
          <w:p w14:paraId="0308360E">
            <w:pPr>
              <w:pStyle w:val="5"/>
              <w:rPr>
                <w:rFonts w:hint="eastAsia" w:cs="Times New Roman"/>
                <w:color w:val="auto"/>
                <w:sz w:val="21"/>
                <w:szCs w:val="21"/>
                <w:lang w:val="en-US" w:eastAsia="zh-CN"/>
              </w:rPr>
            </w:pPr>
            <w:r>
              <w:rPr>
                <w:rFonts w:hint="eastAsia" w:cs="Times New Roman"/>
                <w:color w:val="auto"/>
                <w:sz w:val="21"/>
                <w:szCs w:val="21"/>
                <w:lang w:val="en-US" w:eastAsia="zh-CN"/>
              </w:rPr>
              <w:t>（2）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质量问题发生争议时，由本地质量技术监督部门鉴定或委托具备资质的第三方机构鉴定。鉴定费（含运行产生全部费用）由中标报价人承担。</w:t>
            </w:r>
          </w:p>
          <w:p w14:paraId="48A509D8">
            <w:pPr>
              <w:pStyle w:val="5"/>
              <w:rPr>
                <w:rFonts w:asciiTheme="minorEastAsia" w:hAnsiTheme="minorEastAsia"/>
                <w:kern w:val="0"/>
                <w:sz w:val="24"/>
                <w:szCs w:val="24"/>
              </w:rPr>
            </w:pPr>
            <w:r>
              <w:rPr>
                <w:rFonts w:hint="eastAsia" w:cs="Times New Roman"/>
                <w:color w:val="auto"/>
                <w:sz w:val="21"/>
                <w:szCs w:val="21"/>
                <w:lang w:val="en-US" w:eastAsia="zh-CN"/>
              </w:rPr>
              <w:t>如果验收时中标报价人所提供设计服务达不到采购项目的技术需求，在整改期限20日内中标报价人仍无法提供满足项目技术要求的设备，采购人可以终止项目，中标报价人须承担相应违约责任。</w:t>
            </w:r>
          </w:p>
        </w:tc>
      </w:tr>
    </w:tbl>
    <w:p w14:paraId="1A91CCF6">
      <w:pPr>
        <w:pStyle w:val="5"/>
      </w:pPr>
    </w:p>
    <w:p w14:paraId="1CC9FA73">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w:t>
      </w:r>
      <w:r>
        <w:rPr>
          <w:rFonts w:hint="eastAsia" w:ascii="Arial" w:hAnsi="Arial" w:eastAsia="宋体" w:cs="Arial"/>
          <w:color w:val="000000"/>
          <w:kern w:val="0"/>
          <w:sz w:val="24"/>
          <w:szCs w:val="24"/>
          <w:lang w:val="en-US" w:eastAsia="zh-CN"/>
        </w:rPr>
        <w:t>人</w:t>
      </w:r>
      <w:r>
        <w:rPr>
          <w:rFonts w:ascii="Arial" w:hAnsi="Arial" w:eastAsia="宋体" w:cs="Arial"/>
          <w:color w:val="000000"/>
          <w:kern w:val="0"/>
          <w:sz w:val="24"/>
          <w:szCs w:val="24"/>
        </w:rPr>
        <w:t>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4"/>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pStyle w:val="4"/>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w:t>
      </w:r>
      <w:r>
        <w:rPr>
          <w:rFonts w:hint="eastAsia" w:asciiTheme="majorEastAsia" w:hAnsiTheme="majorEastAsia" w:eastAsiaTheme="majorEastAsia" w:cstheme="majorEastAsia"/>
          <w:kern w:val="0"/>
          <w:sz w:val="24"/>
          <w:szCs w:val="28"/>
          <w:lang w:eastAsia="zh-CN"/>
        </w:rPr>
        <w:t>设计服务</w:t>
      </w:r>
      <w:r>
        <w:rPr>
          <w:rFonts w:hint="eastAsia" w:asciiTheme="majorEastAsia" w:hAnsiTheme="majorEastAsia" w:eastAsiaTheme="majorEastAsia" w:cstheme="majorEastAsia"/>
          <w:kern w:val="0"/>
          <w:sz w:val="24"/>
          <w:szCs w:val="28"/>
        </w:rPr>
        <w:t>、税金、验收及其它所有费用的总和。报价超出采购预算金额的文件将被视为无效。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文件份数：</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两</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4"/>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16</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工作人员将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5"/>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胡老师</w:t>
      </w:r>
      <w:r>
        <w:rPr>
          <w:rFonts w:hint="eastAsia" w:asciiTheme="majorEastAsia" w:hAnsiTheme="majorEastAsia" w:eastAsiaTheme="majorEastAsia" w:cstheme="majorEastAsia"/>
          <w:b/>
          <w:bCs/>
          <w:kern w:val="0"/>
          <w:sz w:val="24"/>
          <w:szCs w:val="28"/>
          <w:lang w:bidi="en-US"/>
        </w:rPr>
        <w:t xml:space="preserve">  </w:t>
      </w:r>
      <w:r>
        <w:rPr>
          <w:rFonts w:hint="eastAsia" w:asciiTheme="majorEastAsia" w:hAnsiTheme="majorEastAsia" w:eastAsiaTheme="majorEastAsia" w:cstheme="majorEastAsia"/>
          <w:bCs/>
          <w:kern w:val="0"/>
          <w:sz w:val="24"/>
          <w:szCs w:val="28"/>
          <w:lang w:bidi="en-US"/>
        </w:rPr>
        <w:t xml:space="preserve"> 联系电话：</w:t>
      </w:r>
      <w:r>
        <w:rPr>
          <w:rFonts w:hint="eastAsia" w:asciiTheme="majorEastAsia" w:hAnsiTheme="majorEastAsia" w:eastAsiaTheme="majorEastAsia" w:cstheme="majorEastAsia"/>
          <w:bCs/>
          <w:kern w:val="0"/>
          <w:sz w:val="24"/>
          <w:szCs w:val="28"/>
          <w:lang w:val="en-US" w:eastAsia="zh-CN" w:bidi="en-US"/>
        </w:rPr>
        <w:t>13607801285</w:t>
      </w:r>
      <w:r>
        <w:rPr>
          <w:rFonts w:hint="eastAsia" w:asciiTheme="majorEastAsia" w:hAnsiTheme="majorEastAsia" w:eastAsiaTheme="majorEastAsia" w:cstheme="majorEastAsia"/>
          <w:bCs/>
          <w:kern w:val="0"/>
          <w:sz w:val="24"/>
          <w:szCs w:val="28"/>
          <w:lang w:bidi="en-US"/>
        </w:rPr>
        <w:t xml:space="preserve"> </w:t>
      </w:r>
      <w:r>
        <w:rPr>
          <w:rFonts w:hint="eastAsia" w:asciiTheme="majorEastAsia" w:hAnsiTheme="majorEastAsia" w:eastAsiaTheme="majorEastAsia" w:cstheme="majorEastAsia"/>
          <w:kern w:val="0"/>
          <w:sz w:val="24"/>
          <w:szCs w:val="28"/>
        </w:rPr>
        <w:t>。</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D2AD8E3">
      <w:pPr>
        <w:pStyle w:val="5"/>
        <w:spacing w:line="360" w:lineRule="auto"/>
      </w:pPr>
    </w:p>
    <w:p w14:paraId="335E7CA1">
      <w:pPr>
        <w:pStyle w:val="5"/>
        <w:jc w:val="center"/>
        <w:rPr>
          <w:b/>
          <w:sz w:val="44"/>
          <w:szCs w:val="36"/>
        </w:rPr>
      </w:pPr>
    </w:p>
    <w:p w14:paraId="7C7F3F8B">
      <w:pPr>
        <w:pStyle w:val="5"/>
        <w:jc w:val="center"/>
        <w:rPr>
          <w:b/>
          <w:sz w:val="44"/>
          <w:szCs w:val="36"/>
        </w:rPr>
      </w:pPr>
    </w:p>
    <w:p w14:paraId="32C940E3">
      <w:pPr>
        <w:pStyle w:val="5"/>
        <w:jc w:val="center"/>
        <w:rPr>
          <w:b/>
          <w:sz w:val="44"/>
          <w:szCs w:val="36"/>
        </w:rPr>
      </w:pPr>
    </w:p>
    <w:p w14:paraId="543F723B">
      <w:pPr>
        <w:pStyle w:val="5"/>
        <w:jc w:val="center"/>
        <w:rPr>
          <w:b/>
          <w:sz w:val="44"/>
          <w:szCs w:val="36"/>
        </w:rPr>
      </w:pPr>
    </w:p>
    <w:p w14:paraId="158D104D">
      <w:pPr>
        <w:pStyle w:val="5"/>
        <w:jc w:val="center"/>
        <w:rPr>
          <w:b/>
          <w:sz w:val="44"/>
          <w:szCs w:val="36"/>
        </w:rPr>
      </w:pPr>
    </w:p>
    <w:p w14:paraId="1CC0149D">
      <w:pPr>
        <w:pStyle w:val="5"/>
        <w:jc w:val="center"/>
        <w:rPr>
          <w:b/>
          <w:sz w:val="44"/>
          <w:szCs w:val="36"/>
        </w:rPr>
      </w:pPr>
    </w:p>
    <w:p w14:paraId="167D5399">
      <w:pPr>
        <w:pStyle w:val="5"/>
        <w:jc w:val="center"/>
        <w:rPr>
          <w:rFonts w:hint="eastAsia"/>
          <w:b/>
          <w:sz w:val="48"/>
          <w:szCs w:val="40"/>
        </w:rPr>
      </w:pPr>
    </w:p>
    <w:p w14:paraId="20C1A2BA">
      <w:pPr>
        <w:pStyle w:val="5"/>
        <w:jc w:val="center"/>
        <w:rPr>
          <w:rFonts w:hint="eastAsia"/>
          <w:b/>
          <w:sz w:val="48"/>
          <w:szCs w:val="40"/>
        </w:rPr>
      </w:pPr>
    </w:p>
    <w:p w14:paraId="4D4F9484">
      <w:pPr>
        <w:pStyle w:val="5"/>
        <w:jc w:val="center"/>
        <w:rPr>
          <w:rFonts w:hint="eastAsia"/>
          <w:b/>
          <w:sz w:val="56"/>
          <w:szCs w:val="48"/>
        </w:rPr>
      </w:pPr>
      <w:r>
        <w:rPr>
          <w:rFonts w:hint="eastAsia"/>
          <w:b/>
          <w:sz w:val="52"/>
          <w:szCs w:val="44"/>
        </w:rPr>
        <w:t xml:space="preserve"> </w:t>
      </w: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7FBBC3F">
      <w:pPr>
        <w:pStyle w:val="5"/>
        <w:rPr>
          <w:sz w:val="24"/>
          <w:szCs w:val="24"/>
        </w:rPr>
      </w:pPr>
    </w:p>
    <w:p w14:paraId="0AA53577">
      <w:pPr>
        <w:pStyle w:val="5"/>
        <w:rPr>
          <w:sz w:val="24"/>
          <w:szCs w:val="24"/>
        </w:rPr>
      </w:pPr>
    </w:p>
    <w:p w14:paraId="1C137EAD">
      <w:pPr>
        <w:pStyle w:val="5"/>
        <w:rPr>
          <w:sz w:val="24"/>
          <w:szCs w:val="24"/>
        </w:rPr>
      </w:pPr>
    </w:p>
    <w:p w14:paraId="72531295">
      <w:pPr>
        <w:pStyle w:val="5"/>
        <w:rPr>
          <w:sz w:val="24"/>
          <w:szCs w:val="24"/>
        </w:rPr>
      </w:pPr>
    </w:p>
    <w:p w14:paraId="52F4E7BB">
      <w:pPr>
        <w:pStyle w:val="5"/>
        <w:rPr>
          <w:sz w:val="24"/>
          <w:szCs w:val="24"/>
        </w:rPr>
      </w:pPr>
    </w:p>
    <w:p w14:paraId="2C206DBF">
      <w:pPr>
        <w:pStyle w:val="36"/>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555BAD77">
      <w:pPr>
        <w:pStyle w:val="5"/>
        <w:rPr>
          <w:sz w:val="24"/>
          <w:szCs w:val="24"/>
        </w:rPr>
      </w:pPr>
    </w:p>
    <w:p w14:paraId="50298D57">
      <w:pPr>
        <w:pStyle w:val="5"/>
        <w:rPr>
          <w:sz w:val="24"/>
          <w:szCs w:val="24"/>
        </w:rPr>
      </w:pPr>
    </w:p>
    <w:p w14:paraId="77C0623A">
      <w:pPr>
        <w:pStyle w:val="5"/>
        <w:rPr>
          <w:sz w:val="24"/>
          <w:szCs w:val="24"/>
        </w:rPr>
      </w:pPr>
    </w:p>
    <w:p w14:paraId="3B1CA22F">
      <w:pPr>
        <w:pStyle w:val="5"/>
        <w:rPr>
          <w:sz w:val="24"/>
          <w:szCs w:val="24"/>
        </w:rPr>
      </w:pPr>
    </w:p>
    <w:p w14:paraId="206EB449">
      <w:pPr>
        <w:pStyle w:val="5"/>
        <w:rPr>
          <w:sz w:val="24"/>
          <w:szCs w:val="24"/>
        </w:rPr>
      </w:pPr>
    </w:p>
    <w:p w14:paraId="1722A923">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61FE5F38">
      <w:pPr>
        <w:pStyle w:val="5"/>
      </w:pPr>
    </w:p>
    <w:p w14:paraId="1A8AFCE7">
      <w:pPr>
        <w:pStyle w:val="5"/>
      </w:pPr>
    </w:p>
    <w:p w14:paraId="2008DA94">
      <w:pPr>
        <w:pStyle w:val="5"/>
      </w:pPr>
    </w:p>
    <w:p w14:paraId="3F793452">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618E503A">
      <w:pPr>
        <w:spacing w:line="360" w:lineRule="auto"/>
        <w:ind w:firstLine="600" w:firstLineChars="200"/>
        <w:contextualSpacing/>
        <w:jc w:val="left"/>
        <w:rPr>
          <w:rFonts w:ascii="宋体" w:hAnsi="Times New Roman" w:eastAsia="仿宋" w:cs="Times New Roman"/>
          <w:b/>
          <w:bCs/>
          <w:kern w:val="0"/>
          <w:sz w:val="30"/>
          <w:szCs w:val="32"/>
        </w:rPr>
      </w:pPr>
      <w:r>
        <w:rPr>
          <w:rFonts w:hint="eastAsia" w:ascii="仿宋" w:hAnsi="仿宋" w:eastAsia="仿宋" w:cs="仿宋_GB2312"/>
          <w:sz w:val="30"/>
          <w:szCs w:val="30"/>
        </w:rPr>
        <w:t>2.法人、其他组织投标时“我方”是指“我单位”，自然人投标时“我方”是指“本人”。</w:t>
      </w:r>
    </w:p>
    <w:p w14:paraId="3F5C69F4">
      <w:pPr>
        <w:jc w:val="left"/>
        <w:outlineLvl w:val="1"/>
        <w:rPr>
          <w:rFonts w:hint="eastAsia" w:ascii="仿宋" w:hAnsi="仿宋" w:eastAsia="仿宋" w:cs="Times New Roman"/>
          <w:b/>
          <w:sz w:val="36"/>
          <w:szCs w:val="21"/>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33436BC2">
      <w:pPr>
        <w:jc w:val="left"/>
        <w:outlineLvl w:val="1"/>
        <w:rPr>
          <w:rFonts w:hint="eastAsia" w:ascii="仿宋" w:hAnsi="仿宋" w:eastAsia="仿宋" w:cs="Times New Roman"/>
          <w:b/>
          <w:sz w:val="28"/>
          <w:szCs w:val="18"/>
        </w:rPr>
      </w:pPr>
    </w:p>
    <w:p w14:paraId="55491F36">
      <w:pPr>
        <w:jc w:val="left"/>
        <w:outlineLvl w:val="1"/>
        <w:rPr>
          <w:rFonts w:hint="eastAsia" w:ascii="仿宋" w:hAnsi="仿宋" w:eastAsia="仿宋" w:cs="Times New Roman"/>
          <w:b/>
          <w:sz w:val="28"/>
          <w:szCs w:val="18"/>
        </w:rPr>
      </w:pPr>
    </w:p>
    <w:p w14:paraId="25224699">
      <w:pPr>
        <w:jc w:val="left"/>
        <w:outlineLvl w:val="1"/>
        <w:rPr>
          <w:rFonts w:hint="eastAsia" w:ascii="仿宋" w:hAnsi="仿宋" w:eastAsia="仿宋" w:cs="Times New Roman"/>
          <w:b/>
          <w:sz w:val="28"/>
          <w:szCs w:val="18"/>
        </w:rPr>
      </w:pPr>
    </w:p>
    <w:p w14:paraId="3EF89EAE">
      <w:pPr>
        <w:jc w:val="left"/>
        <w:outlineLvl w:val="1"/>
        <w:rPr>
          <w:rFonts w:hint="eastAsia" w:ascii="仿宋" w:hAnsi="仿宋" w:eastAsia="仿宋" w:cs="Times New Roman"/>
          <w:b/>
          <w:sz w:val="28"/>
          <w:szCs w:val="18"/>
        </w:rPr>
      </w:pPr>
    </w:p>
    <w:p w14:paraId="2006D35B">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35CAF122">
      <w:pPr>
        <w:jc w:val="left"/>
        <w:outlineLvl w:val="1"/>
        <w:rPr>
          <w:rFonts w:ascii="仿宋" w:hAnsi="仿宋" w:eastAsia="仿宋" w:cs="Times New Roman"/>
          <w:b/>
          <w:sz w:val="36"/>
          <w:szCs w:val="21"/>
        </w:rPr>
      </w:pPr>
    </w:p>
    <w:p w14:paraId="22D01039">
      <w:pPr>
        <w:jc w:val="left"/>
        <w:outlineLvl w:val="1"/>
        <w:rPr>
          <w:rFonts w:ascii="仿宋" w:hAnsi="仿宋" w:eastAsia="仿宋" w:cs="Times New Roman"/>
          <w:b/>
          <w:sz w:val="36"/>
          <w:szCs w:val="21"/>
        </w:rPr>
      </w:pPr>
    </w:p>
    <w:p w14:paraId="007981DB">
      <w:pPr>
        <w:jc w:val="left"/>
        <w:outlineLvl w:val="1"/>
        <w:rPr>
          <w:rFonts w:ascii="仿宋" w:hAnsi="仿宋" w:eastAsia="仿宋" w:cs="Times New Roman"/>
          <w:b/>
          <w:sz w:val="36"/>
          <w:szCs w:val="21"/>
        </w:rPr>
      </w:pPr>
    </w:p>
    <w:p w14:paraId="5F0F2745">
      <w:pPr>
        <w:jc w:val="left"/>
        <w:outlineLvl w:val="1"/>
        <w:rPr>
          <w:rFonts w:ascii="仿宋" w:hAnsi="仿宋" w:eastAsia="仿宋" w:cs="Times New Roman"/>
          <w:b/>
          <w:sz w:val="36"/>
          <w:szCs w:val="21"/>
        </w:rPr>
      </w:pPr>
    </w:p>
    <w:p w14:paraId="6662F10D">
      <w:pPr>
        <w:jc w:val="left"/>
        <w:outlineLvl w:val="1"/>
        <w:rPr>
          <w:rFonts w:ascii="仿宋" w:hAnsi="仿宋" w:eastAsia="仿宋" w:cs="Times New Roman"/>
          <w:b/>
          <w:sz w:val="36"/>
          <w:szCs w:val="21"/>
        </w:rPr>
      </w:pPr>
    </w:p>
    <w:p w14:paraId="1A6EA036">
      <w:pPr>
        <w:jc w:val="left"/>
        <w:outlineLvl w:val="1"/>
        <w:rPr>
          <w:rFonts w:ascii="仿宋" w:hAnsi="仿宋" w:eastAsia="仿宋" w:cs="Times New Roman"/>
          <w:b/>
          <w:sz w:val="36"/>
          <w:szCs w:val="21"/>
        </w:rPr>
      </w:pPr>
    </w:p>
    <w:p w14:paraId="3F185A47">
      <w:pPr>
        <w:jc w:val="left"/>
        <w:outlineLvl w:val="1"/>
        <w:rPr>
          <w:rFonts w:ascii="仿宋" w:hAnsi="仿宋" w:eastAsia="仿宋" w:cs="Times New Roman"/>
          <w:b/>
          <w:sz w:val="36"/>
          <w:szCs w:val="21"/>
        </w:rPr>
      </w:pPr>
    </w:p>
    <w:p w14:paraId="7075D8D7">
      <w:pPr>
        <w:jc w:val="left"/>
        <w:outlineLvl w:val="1"/>
        <w:rPr>
          <w:rFonts w:ascii="仿宋" w:hAnsi="仿宋" w:eastAsia="仿宋" w:cs="Times New Roman"/>
          <w:b/>
          <w:sz w:val="36"/>
          <w:szCs w:val="21"/>
        </w:rPr>
      </w:pPr>
    </w:p>
    <w:p w14:paraId="21C50D35">
      <w:pPr>
        <w:jc w:val="left"/>
        <w:outlineLvl w:val="1"/>
        <w:rPr>
          <w:rFonts w:ascii="仿宋" w:hAnsi="仿宋" w:eastAsia="仿宋" w:cs="Times New Roman"/>
          <w:b/>
          <w:sz w:val="36"/>
          <w:szCs w:val="21"/>
        </w:rPr>
      </w:pPr>
    </w:p>
    <w:p w14:paraId="451BC7ED">
      <w:pPr>
        <w:jc w:val="left"/>
        <w:outlineLvl w:val="1"/>
        <w:rPr>
          <w:rFonts w:ascii="仿宋" w:hAnsi="仿宋" w:eastAsia="仿宋" w:cs="Times New Roman"/>
          <w:b/>
          <w:sz w:val="36"/>
          <w:szCs w:val="21"/>
        </w:rPr>
      </w:pPr>
    </w:p>
    <w:p w14:paraId="1765CDCE">
      <w:pPr>
        <w:jc w:val="left"/>
        <w:outlineLvl w:val="1"/>
        <w:rPr>
          <w:rFonts w:ascii="仿宋" w:hAnsi="仿宋" w:eastAsia="仿宋" w:cs="Times New Roman"/>
          <w:b/>
          <w:sz w:val="36"/>
          <w:szCs w:val="21"/>
        </w:rPr>
      </w:pPr>
    </w:p>
    <w:p w14:paraId="552BAA8B">
      <w:pPr>
        <w:jc w:val="left"/>
        <w:outlineLvl w:val="1"/>
        <w:rPr>
          <w:rFonts w:ascii="仿宋" w:hAnsi="仿宋" w:eastAsia="仿宋" w:cs="Times New Roman"/>
          <w:b/>
          <w:sz w:val="36"/>
          <w:szCs w:val="21"/>
        </w:rPr>
      </w:pPr>
    </w:p>
    <w:p w14:paraId="50D46902">
      <w:pPr>
        <w:jc w:val="left"/>
        <w:outlineLvl w:val="1"/>
        <w:rPr>
          <w:rFonts w:ascii="仿宋" w:hAnsi="仿宋" w:eastAsia="仿宋" w:cs="Times New Roman"/>
          <w:b/>
          <w:sz w:val="36"/>
          <w:szCs w:val="21"/>
        </w:rPr>
      </w:pPr>
    </w:p>
    <w:p w14:paraId="40325551">
      <w:pPr>
        <w:jc w:val="left"/>
        <w:outlineLvl w:val="1"/>
        <w:rPr>
          <w:rFonts w:ascii="仿宋" w:hAnsi="仿宋" w:eastAsia="仿宋" w:cs="Times New Roman"/>
          <w:b/>
          <w:sz w:val="36"/>
          <w:szCs w:val="21"/>
        </w:rPr>
      </w:pPr>
    </w:p>
    <w:p w14:paraId="2DFF67C4">
      <w:pPr>
        <w:jc w:val="left"/>
        <w:outlineLvl w:val="1"/>
        <w:rPr>
          <w:rFonts w:ascii="仿宋" w:hAnsi="仿宋" w:eastAsia="仿宋" w:cs="Times New Roman"/>
          <w:b/>
          <w:sz w:val="36"/>
          <w:szCs w:val="21"/>
        </w:rPr>
      </w:pPr>
    </w:p>
    <w:p w14:paraId="3AB4474A">
      <w:pPr>
        <w:jc w:val="left"/>
        <w:outlineLvl w:val="1"/>
        <w:rPr>
          <w:rFonts w:ascii="仿宋" w:hAnsi="仿宋" w:eastAsia="仿宋" w:cs="Times New Roman"/>
          <w:b/>
          <w:sz w:val="36"/>
          <w:szCs w:val="21"/>
        </w:rPr>
      </w:pPr>
    </w:p>
    <w:p w14:paraId="073BA054">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6067EE4">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项目编号：</w:t>
      </w:r>
      <w:r>
        <w:rPr>
          <w:rFonts w:hint="eastAsia" w:ascii="仿宋" w:hAnsi="仿宋" w:eastAsia="仿宋"/>
          <w:sz w:val="30"/>
          <w:szCs w:val="30"/>
          <w:u w:val="single"/>
        </w:rPr>
        <w:t xml:space="preserve">                 </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3"/>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1A848F1E">
            <w:pPr>
              <w:spacing w:line="360" w:lineRule="exact"/>
              <w:jc w:val="left"/>
              <w:rPr>
                <w:rFonts w:ascii="仿宋" w:hAnsi="仿宋" w:eastAsia="仿宋" w:cs="Arial"/>
                <w:bCs/>
                <w:sz w:val="30"/>
                <w:szCs w:val="30"/>
              </w:rPr>
            </w:pPr>
            <w:r>
              <w:rPr>
                <w:rFonts w:hint="eastAsia" w:ascii="仿宋" w:hAnsi="仿宋" w:eastAsia="仿宋" w:cs="Arial"/>
                <w:bCs/>
                <w:sz w:val="30"/>
                <w:szCs w:val="30"/>
              </w:rPr>
              <w:t>服务交付时间：</w:t>
            </w:r>
            <w:r>
              <w:rPr>
                <w:rFonts w:hint="eastAsia" w:ascii="仿宋" w:hAnsi="仿宋" w:eastAsia="仿宋" w:cs="Arial"/>
                <w:bCs/>
                <w:sz w:val="30"/>
                <w:szCs w:val="30"/>
                <w:lang w:val="en-US" w:eastAsia="zh-CN"/>
              </w:rPr>
              <w:t xml:space="preserve">自合同签订之日起采购人 </w:t>
            </w:r>
            <w:r>
              <w:rPr>
                <w:rFonts w:hint="eastAsia" w:ascii="仿宋" w:hAnsi="仿宋" w:eastAsia="仿宋" w:cs="Arial"/>
                <w:bCs/>
                <w:sz w:val="30"/>
                <w:szCs w:val="30"/>
                <w:u w:val="single"/>
                <w:lang w:val="en-US" w:eastAsia="zh-CN"/>
              </w:rPr>
              <w:t xml:space="preserve">      </w:t>
            </w:r>
            <w:r>
              <w:rPr>
                <w:rFonts w:hint="eastAsia" w:ascii="仿宋" w:hAnsi="仿宋" w:eastAsia="仿宋" w:cs="Arial"/>
                <w:bCs/>
                <w:sz w:val="30"/>
                <w:szCs w:val="30"/>
                <w:lang w:val="en-US" w:eastAsia="zh-CN"/>
              </w:rPr>
              <w:t>日内提交施工图设计成果。</w:t>
            </w:r>
          </w:p>
          <w:p w14:paraId="4C0A8793">
            <w:pPr>
              <w:pStyle w:val="5"/>
            </w:pP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5"/>
        <w:jc w:val="left"/>
      </w:pPr>
    </w:p>
    <w:p w14:paraId="36FF8613">
      <w:pPr>
        <w:pStyle w:val="5"/>
        <w:jc w:val="left"/>
      </w:pPr>
    </w:p>
    <w:p w14:paraId="26E994BA">
      <w:pPr>
        <w:pStyle w:val="5"/>
        <w:jc w:val="left"/>
      </w:pPr>
    </w:p>
    <w:p w14:paraId="41291252">
      <w:pPr>
        <w:pStyle w:val="5"/>
        <w:jc w:val="left"/>
      </w:pPr>
    </w:p>
    <w:p w14:paraId="1798EB0B">
      <w:pPr>
        <w:pStyle w:val="5"/>
        <w:jc w:val="left"/>
      </w:pPr>
    </w:p>
    <w:p w14:paraId="6BA368F5">
      <w:pPr>
        <w:pStyle w:val="5"/>
        <w:numPr>
          <w:ilvl w:val="0"/>
          <w:numId w:val="0"/>
        </w:numPr>
        <w:ind w:leftChars="0"/>
        <w:jc w:val="left"/>
        <w:rPr>
          <w:rFonts w:hint="eastAsia"/>
          <w:b/>
          <w:sz w:val="36"/>
          <w:szCs w:val="36"/>
          <w:lang w:val="en-US" w:eastAsia="zh-CN"/>
        </w:rPr>
      </w:pPr>
    </w:p>
    <w:p w14:paraId="7B672122">
      <w:pPr>
        <w:pStyle w:val="5"/>
        <w:numPr>
          <w:ilvl w:val="0"/>
          <w:numId w:val="0"/>
        </w:numPr>
        <w:ind w:leftChars="0"/>
        <w:jc w:val="left"/>
        <w:rPr>
          <w:rFonts w:hint="eastAsia"/>
          <w:b/>
          <w:sz w:val="36"/>
          <w:szCs w:val="36"/>
          <w:lang w:val="en-US" w:eastAsia="zh-CN"/>
        </w:rPr>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41CE2CC3">
      <w:pPr>
        <w:jc w:val="center"/>
        <w:rPr>
          <w:rFonts w:hint="default" w:ascii="仿宋" w:hAnsi="仿宋" w:eastAsia="仿宋"/>
          <w:b/>
          <w:sz w:val="40"/>
          <w:szCs w:val="40"/>
          <w:lang w:val="en-US" w:eastAsia="zh-CN"/>
        </w:rPr>
      </w:pPr>
      <w:r>
        <w:rPr>
          <w:rFonts w:hint="eastAsia" w:ascii="仿宋" w:hAnsi="仿宋" w:eastAsia="仿宋"/>
          <w:b/>
          <w:sz w:val="40"/>
          <w:szCs w:val="40"/>
          <w:lang w:val="en-US" w:eastAsia="zh-CN"/>
        </w:rPr>
        <w:t>商务、技术响应、偏离情况说明表格</w:t>
      </w:r>
    </w:p>
    <w:p w14:paraId="0E09BE0A">
      <w:pPr>
        <w:pStyle w:val="5"/>
        <w:numPr>
          <w:ilvl w:val="0"/>
          <w:numId w:val="0"/>
        </w:numPr>
        <w:ind w:leftChars="0"/>
        <w:jc w:val="left"/>
        <w:rPr>
          <w:rFonts w:hint="default"/>
          <w:b/>
          <w:sz w:val="36"/>
          <w:szCs w:val="36"/>
          <w:lang w:val="en-US" w:eastAsia="zh-CN"/>
        </w:rPr>
      </w:pPr>
    </w:p>
    <w:p w14:paraId="63397DC4">
      <w:pPr>
        <w:spacing w:before="156" w:beforeLines="50" w:after="156" w:afterLines="50" w:line="360" w:lineRule="exact"/>
        <w:rPr>
          <w:rFonts w:ascii="宋体" w:hAnsi="宋体"/>
          <w:sz w:val="28"/>
        </w:rPr>
      </w:pPr>
      <w:r>
        <w:rPr>
          <w:rFonts w:hint="eastAsia" w:ascii="宋体" w:hAnsi="宋体"/>
          <w:sz w:val="28"/>
        </w:rPr>
        <w:t>采购编号：</w:t>
      </w:r>
      <w:r>
        <w:rPr>
          <w:rFonts w:hint="eastAsia" w:ascii="宋体" w:hAnsi="宋体"/>
          <w:sz w:val="28"/>
          <w:u w:val="single"/>
        </w:rPr>
        <w:t xml:space="preserve">                       </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3066401"/>
            <w:bookmarkStart w:id="3" w:name="_Toc171349578"/>
            <w:bookmarkStart w:id="4" w:name="_Toc254970588"/>
            <w:bookmarkStart w:id="5" w:name="_Toc254970729"/>
            <w:bookmarkStart w:id="6" w:name="_Toc405905876"/>
            <w:bookmarkStart w:id="7" w:name="_Toc173211900"/>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732"/>
            <w:bookmarkStart w:id="9" w:name="_Toc171349581"/>
            <w:bookmarkStart w:id="10" w:name="_Toc405905879"/>
            <w:bookmarkStart w:id="11" w:name="_Toc173211903"/>
            <w:bookmarkStart w:id="12" w:name="_Toc254970591"/>
            <w:bookmarkStart w:id="13" w:name="_Toc173066404"/>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254970592"/>
            <w:bookmarkStart w:id="15" w:name="_Toc173066405"/>
            <w:bookmarkStart w:id="16" w:name="_Toc171349582"/>
            <w:bookmarkStart w:id="17" w:name="_Toc254970733"/>
            <w:bookmarkStart w:id="18" w:name="_Toc173211904"/>
            <w:bookmarkStart w:id="19" w:name="_Toc405905880"/>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173066406"/>
            <w:bookmarkStart w:id="23" w:name="_Toc171349584"/>
            <w:bookmarkStart w:id="24" w:name="_Toc405905882"/>
            <w:bookmarkStart w:id="25" w:name="_Toc254970734"/>
            <w:bookmarkStart w:id="26" w:name="_Toc254970593"/>
            <w:bookmarkStart w:id="27" w:name="_Toc173211905"/>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405905883"/>
            <w:bookmarkStart w:id="29" w:name="_Toc173211906"/>
            <w:bookmarkStart w:id="30" w:name="_Toc173066407"/>
            <w:bookmarkStart w:id="31" w:name="_Toc171349585"/>
            <w:bookmarkStart w:id="32" w:name="_Toc254970735"/>
            <w:bookmarkStart w:id="33" w:name="_Toc254970594"/>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254970736"/>
            <w:bookmarkStart w:id="35" w:name="_Toc173211907"/>
            <w:bookmarkStart w:id="36" w:name="_Toc405905884"/>
            <w:bookmarkStart w:id="37" w:name="_Toc173066408"/>
            <w:bookmarkStart w:id="38" w:name="_Toc171349586"/>
            <w:bookmarkStart w:id="39" w:name="_Toc254970595"/>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6BD14B9D">
      <w:pPr>
        <w:pStyle w:val="5"/>
        <w:jc w:val="left"/>
        <w:rPr>
          <w:b/>
          <w:color w:val="FF0000"/>
        </w:rPr>
      </w:pPr>
      <w:r>
        <w:rPr>
          <w:rFonts w:hint="eastAsia" w:ascii="宋体" w:hAnsi="宋体" w:cs="宋体"/>
          <w:b/>
          <w:sz w:val="24"/>
          <w:szCs w:val="24"/>
        </w:rPr>
        <w:t xml:space="preserve">      　　　　　　　　　　　　　                           日期：   年  月  日</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64DEEB"/>
    <w:multiLevelType w:val="singleLevel"/>
    <w:tmpl w:val="8164DEEB"/>
    <w:lvl w:ilvl="0" w:tentative="0">
      <w:start w:val="1"/>
      <w:numFmt w:val="chineseCounting"/>
      <w:suff w:val="nothing"/>
      <w:lvlText w:val="（%1）"/>
      <w:lvlJc w:val="left"/>
      <w:pPr>
        <w:ind w:left="0" w:firstLine="0"/>
      </w:pPr>
      <w:rPr>
        <w:rFonts w:hint="eastAsia"/>
      </w:rPr>
    </w:lvl>
  </w:abstractNum>
  <w:abstractNum w:abstractNumId="1">
    <w:nsid w:val="85285C32"/>
    <w:multiLevelType w:val="multilevel"/>
    <w:tmpl w:val="85285C32"/>
    <w:lvl w:ilvl="0" w:tentative="0">
      <w:start w:val="1"/>
      <w:numFmt w:val="decimal"/>
      <w:suff w:val="nothing"/>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2">
    <w:nsid w:val="0A46E091"/>
    <w:multiLevelType w:val="singleLevel"/>
    <w:tmpl w:val="0A46E091"/>
    <w:lvl w:ilvl="0" w:tentative="0">
      <w:start w:val="1"/>
      <w:numFmt w:val="chineseCounting"/>
      <w:suff w:val="nothing"/>
      <w:lvlText w:val="%1、"/>
      <w:lvlJc w:val="left"/>
      <w:rPr>
        <w:rFonts w:hint="eastAsia"/>
      </w:rPr>
    </w:lvl>
  </w:abstractNum>
  <w:abstractNum w:abstractNumId="3">
    <w:nsid w:val="1519128E"/>
    <w:multiLevelType w:val="singleLevel"/>
    <w:tmpl w:val="1519128E"/>
    <w:lvl w:ilvl="0" w:tentative="0">
      <w:start w:val="7"/>
      <w:numFmt w:val="decimal"/>
      <w:lvlText w:val="%1."/>
      <w:lvlJc w:val="left"/>
      <w:pPr>
        <w:tabs>
          <w:tab w:val="left" w:pos="312"/>
        </w:tabs>
      </w:pPr>
    </w:lvl>
  </w:abstractNum>
  <w:abstractNum w:abstractNumId="4">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656"/>
    <w:rsid w:val="0003370D"/>
    <w:rsid w:val="00033E60"/>
    <w:rsid w:val="0005406C"/>
    <w:rsid w:val="000927C5"/>
    <w:rsid w:val="00094D15"/>
    <w:rsid w:val="00096E23"/>
    <w:rsid w:val="000977F7"/>
    <w:rsid w:val="000A18FB"/>
    <w:rsid w:val="000A5546"/>
    <w:rsid w:val="000A7ABD"/>
    <w:rsid w:val="000B2802"/>
    <w:rsid w:val="000D0700"/>
    <w:rsid w:val="000D24F9"/>
    <w:rsid w:val="000D2C6F"/>
    <w:rsid w:val="000E0EBC"/>
    <w:rsid w:val="001135F9"/>
    <w:rsid w:val="00115203"/>
    <w:rsid w:val="00121D26"/>
    <w:rsid w:val="00121F24"/>
    <w:rsid w:val="00131F1A"/>
    <w:rsid w:val="00131F2F"/>
    <w:rsid w:val="00167C68"/>
    <w:rsid w:val="00167D27"/>
    <w:rsid w:val="001739BD"/>
    <w:rsid w:val="00175BD3"/>
    <w:rsid w:val="001841BB"/>
    <w:rsid w:val="00197C14"/>
    <w:rsid w:val="001B2D59"/>
    <w:rsid w:val="001B52A8"/>
    <w:rsid w:val="001C5386"/>
    <w:rsid w:val="001D2AAE"/>
    <w:rsid w:val="001E6869"/>
    <w:rsid w:val="001E6CCD"/>
    <w:rsid w:val="00206B8D"/>
    <w:rsid w:val="0022534B"/>
    <w:rsid w:val="00226ABE"/>
    <w:rsid w:val="002501BB"/>
    <w:rsid w:val="0026302E"/>
    <w:rsid w:val="00263320"/>
    <w:rsid w:val="00271181"/>
    <w:rsid w:val="00280A55"/>
    <w:rsid w:val="002856D0"/>
    <w:rsid w:val="002A1C58"/>
    <w:rsid w:val="002A402F"/>
    <w:rsid w:val="002B2D31"/>
    <w:rsid w:val="002B30DA"/>
    <w:rsid w:val="002D7B38"/>
    <w:rsid w:val="002E7238"/>
    <w:rsid w:val="002E759E"/>
    <w:rsid w:val="0030619C"/>
    <w:rsid w:val="0031078D"/>
    <w:rsid w:val="00311FE0"/>
    <w:rsid w:val="00316B59"/>
    <w:rsid w:val="003301DA"/>
    <w:rsid w:val="00351974"/>
    <w:rsid w:val="00352DEE"/>
    <w:rsid w:val="00355C5A"/>
    <w:rsid w:val="0036474E"/>
    <w:rsid w:val="00372E5C"/>
    <w:rsid w:val="00393DFC"/>
    <w:rsid w:val="00396635"/>
    <w:rsid w:val="003C1C9F"/>
    <w:rsid w:val="003D50E2"/>
    <w:rsid w:val="003E01AC"/>
    <w:rsid w:val="003F30D5"/>
    <w:rsid w:val="0040368D"/>
    <w:rsid w:val="00403734"/>
    <w:rsid w:val="0040574C"/>
    <w:rsid w:val="0040699E"/>
    <w:rsid w:val="00413075"/>
    <w:rsid w:val="004244FB"/>
    <w:rsid w:val="00431EBE"/>
    <w:rsid w:val="00433416"/>
    <w:rsid w:val="00433D45"/>
    <w:rsid w:val="00444B38"/>
    <w:rsid w:val="00445ECD"/>
    <w:rsid w:val="0045137C"/>
    <w:rsid w:val="00454500"/>
    <w:rsid w:val="00456DE7"/>
    <w:rsid w:val="00470B0F"/>
    <w:rsid w:val="00472E92"/>
    <w:rsid w:val="00476965"/>
    <w:rsid w:val="00485B0E"/>
    <w:rsid w:val="004B4EF7"/>
    <w:rsid w:val="004E038B"/>
    <w:rsid w:val="004F63BE"/>
    <w:rsid w:val="005023DE"/>
    <w:rsid w:val="00503E77"/>
    <w:rsid w:val="00511C16"/>
    <w:rsid w:val="00520AF4"/>
    <w:rsid w:val="00524F9C"/>
    <w:rsid w:val="005257F6"/>
    <w:rsid w:val="00533183"/>
    <w:rsid w:val="00533262"/>
    <w:rsid w:val="005332BE"/>
    <w:rsid w:val="00544186"/>
    <w:rsid w:val="00552AC2"/>
    <w:rsid w:val="00562452"/>
    <w:rsid w:val="0057096A"/>
    <w:rsid w:val="00572110"/>
    <w:rsid w:val="005726E0"/>
    <w:rsid w:val="005734B0"/>
    <w:rsid w:val="00585294"/>
    <w:rsid w:val="005A33D4"/>
    <w:rsid w:val="005A6583"/>
    <w:rsid w:val="005E2826"/>
    <w:rsid w:val="005F2B63"/>
    <w:rsid w:val="005F585A"/>
    <w:rsid w:val="00603AD8"/>
    <w:rsid w:val="00642021"/>
    <w:rsid w:val="00662D69"/>
    <w:rsid w:val="006666BC"/>
    <w:rsid w:val="00670D4D"/>
    <w:rsid w:val="00676789"/>
    <w:rsid w:val="00694629"/>
    <w:rsid w:val="00697692"/>
    <w:rsid w:val="006B3B05"/>
    <w:rsid w:val="006C3961"/>
    <w:rsid w:val="006D287A"/>
    <w:rsid w:val="006E71DF"/>
    <w:rsid w:val="006F58EB"/>
    <w:rsid w:val="00720CCA"/>
    <w:rsid w:val="007268B5"/>
    <w:rsid w:val="00730A0B"/>
    <w:rsid w:val="00736EC4"/>
    <w:rsid w:val="00751B63"/>
    <w:rsid w:val="007568F0"/>
    <w:rsid w:val="00773684"/>
    <w:rsid w:val="00785A0F"/>
    <w:rsid w:val="00787137"/>
    <w:rsid w:val="007925DB"/>
    <w:rsid w:val="007A6F05"/>
    <w:rsid w:val="007C01A3"/>
    <w:rsid w:val="007C4D3E"/>
    <w:rsid w:val="007D2C2F"/>
    <w:rsid w:val="007D5B38"/>
    <w:rsid w:val="007D7CB6"/>
    <w:rsid w:val="007E28EF"/>
    <w:rsid w:val="007E3CBC"/>
    <w:rsid w:val="007E71BF"/>
    <w:rsid w:val="007F7416"/>
    <w:rsid w:val="00810B52"/>
    <w:rsid w:val="0081784F"/>
    <w:rsid w:val="00822192"/>
    <w:rsid w:val="00825E8F"/>
    <w:rsid w:val="0082601C"/>
    <w:rsid w:val="00826338"/>
    <w:rsid w:val="00826A10"/>
    <w:rsid w:val="00826C89"/>
    <w:rsid w:val="008419DB"/>
    <w:rsid w:val="008427E4"/>
    <w:rsid w:val="00847D62"/>
    <w:rsid w:val="0085390B"/>
    <w:rsid w:val="00853AB3"/>
    <w:rsid w:val="00853CB4"/>
    <w:rsid w:val="00874053"/>
    <w:rsid w:val="008749CD"/>
    <w:rsid w:val="00876773"/>
    <w:rsid w:val="00880EFF"/>
    <w:rsid w:val="00897F30"/>
    <w:rsid w:val="008A3635"/>
    <w:rsid w:val="008B683E"/>
    <w:rsid w:val="008F073E"/>
    <w:rsid w:val="008F5CD2"/>
    <w:rsid w:val="008F5DC6"/>
    <w:rsid w:val="00905CC9"/>
    <w:rsid w:val="009068A8"/>
    <w:rsid w:val="0090710C"/>
    <w:rsid w:val="009072C1"/>
    <w:rsid w:val="00916A7D"/>
    <w:rsid w:val="009204DD"/>
    <w:rsid w:val="00941525"/>
    <w:rsid w:val="0095082E"/>
    <w:rsid w:val="009564DE"/>
    <w:rsid w:val="00981FCA"/>
    <w:rsid w:val="009A6AAE"/>
    <w:rsid w:val="009C24E5"/>
    <w:rsid w:val="009E0184"/>
    <w:rsid w:val="009E08B6"/>
    <w:rsid w:val="009E2708"/>
    <w:rsid w:val="009E4BA0"/>
    <w:rsid w:val="009F0680"/>
    <w:rsid w:val="009F3818"/>
    <w:rsid w:val="00A048E8"/>
    <w:rsid w:val="00A10223"/>
    <w:rsid w:val="00A121A6"/>
    <w:rsid w:val="00A177D1"/>
    <w:rsid w:val="00A347D8"/>
    <w:rsid w:val="00A4170A"/>
    <w:rsid w:val="00A536B6"/>
    <w:rsid w:val="00A547B6"/>
    <w:rsid w:val="00A612FD"/>
    <w:rsid w:val="00A620B1"/>
    <w:rsid w:val="00A70397"/>
    <w:rsid w:val="00A70653"/>
    <w:rsid w:val="00A7232A"/>
    <w:rsid w:val="00A724F0"/>
    <w:rsid w:val="00A857E9"/>
    <w:rsid w:val="00A86B15"/>
    <w:rsid w:val="00A9023C"/>
    <w:rsid w:val="00A9151B"/>
    <w:rsid w:val="00AA274B"/>
    <w:rsid w:val="00AA2C32"/>
    <w:rsid w:val="00AC278C"/>
    <w:rsid w:val="00AC44F9"/>
    <w:rsid w:val="00AD220C"/>
    <w:rsid w:val="00AD51A7"/>
    <w:rsid w:val="00AE7821"/>
    <w:rsid w:val="00AF3302"/>
    <w:rsid w:val="00B03B7A"/>
    <w:rsid w:val="00B11CE4"/>
    <w:rsid w:val="00B27B45"/>
    <w:rsid w:val="00B37A35"/>
    <w:rsid w:val="00B37A8A"/>
    <w:rsid w:val="00B407D1"/>
    <w:rsid w:val="00B41C74"/>
    <w:rsid w:val="00B41D94"/>
    <w:rsid w:val="00B52E74"/>
    <w:rsid w:val="00B76A86"/>
    <w:rsid w:val="00B80378"/>
    <w:rsid w:val="00B84453"/>
    <w:rsid w:val="00B92D24"/>
    <w:rsid w:val="00B932DA"/>
    <w:rsid w:val="00BC4DC9"/>
    <w:rsid w:val="00BC52E6"/>
    <w:rsid w:val="00BD7D93"/>
    <w:rsid w:val="00BE740B"/>
    <w:rsid w:val="00C00E88"/>
    <w:rsid w:val="00C00F3B"/>
    <w:rsid w:val="00C1072F"/>
    <w:rsid w:val="00C15953"/>
    <w:rsid w:val="00C20D15"/>
    <w:rsid w:val="00C372E4"/>
    <w:rsid w:val="00C418AD"/>
    <w:rsid w:val="00C52B82"/>
    <w:rsid w:val="00C83F26"/>
    <w:rsid w:val="00C85DDE"/>
    <w:rsid w:val="00CB36AB"/>
    <w:rsid w:val="00CB7EA0"/>
    <w:rsid w:val="00CD10EC"/>
    <w:rsid w:val="00CD76E9"/>
    <w:rsid w:val="00CF2741"/>
    <w:rsid w:val="00D11F27"/>
    <w:rsid w:val="00D157BB"/>
    <w:rsid w:val="00D23EEC"/>
    <w:rsid w:val="00D31AD8"/>
    <w:rsid w:val="00D423DD"/>
    <w:rsid w:val="00D43215"/>
    <w:rsid w:val="00D55902"/>
    <w:rsid w:val="00D57120"/>
    <w:rsid w:val="00D57635"/>
    <w:rsid w:val="00D57AE2"/>
    <w:rsid w:val="00D60345"/>
    <w:rsid w:val="00D6381E"/>
    <w:rsid w:val="00D65EE7"/>
    <w:rsid w:val="00D71D31"/>
    <w:rsid w:val="00D73D52"/>
    <w:rsid w:val="00D775B8"/>
    <w:rsid w:val="00D8657A"/>
    <w:rsid w:val="00D90F04"/>
    <w:rsid w:val="00D912E9"/>
    <w:rsid w:val="00D95FE0"/>
    <w:rsid w:val="00DD5680"/>
    <w:rsid w:val="00DF0DEC"/>
    <w:rsid w:val="00E10E5E"/>
    <w:rsid w:val="00E226EF"/>
    <w:rsid w:val="00E22920"/>
    <w:rsid w:val="00E33548"/>
    <w:rsid w:val="00E54C5F"/>
    <w:rsid w:val="00E64992"/>
    <w:rsid w:val="00E714BC"/>
    <w:rsid w:val="00E719CD"/>
    <w:rsid w:val="00E83569"/>
    <w:rsid w:val="00E95383"/>
    <w:rsid w:val="00EC7181"/>
    <w:rsid w:val="00EE2DD1"/>
    <w:rsid w:val="00EE4E0F"/>
    <w:rsid w:val="00EF1142"/>
    <w:rsid w:val="00EF6B77"/>
    <w:rsid w:val="00F01ACD"/>
    <w:rsid w:val="00F23A55"/>
    <w:rsid w:val="00F23DEE"/>
    <w:rsid w:val="00F30291"/>
    <w:rsid w:val="00F36AF2"/>
    <w:rsid w:val="00F41894"/>
    <w:rsid w:val="00F430D8"/>
    <w:rsid w:val="00F45965"/>
    <w:rsid w:val="00F5231C"/>
    <w:rsid w:val="00F529C6"/>
    <w:rsid w:val="00F534CB"/>
    <w:rsid w:val="00F57E82"/>
    <w:rsid w:val="00F67F43"/>
    <w:rsid w:val="00F73137"/>
    <w:rsid w:val="00F75191"/>
    <w:rsid w:val="00F80DDD"/>
    <w:rsid w:val="00F82047"/>
    <w:rsid w:val="00F85CDE"/>
    <w:rsid w:val="00F85E9A"/>
    <w:rsid w:val="00F86FB3"/>
    <w:rsid w:val="00F90A34"/>
    <w:rsid w:val="00F92F10"/>
    <w:rsid w:val="00F95E9A"/>
    <w:rsid w:val="00FB7607"/>
    <w:rsid w:val="00FC68B0"/>
    <w:rsid w:val="00FE0481"/>
    <w:rsid w:val="01233096"/>
    <w:rsid w:val="01564BF5"/>
    <w:rsid w:val="01B32C3A"/>
    <w:rsid w:val="01FF7678"/>
    <w:rsid w:val="02127B25"/>
    <w:rsid w:val="037F2773"/>
    <w:rsid w:val="0467607E"/>
    <w:rsid w:val="04B867D8"/>
    <w:rsid w:val="04DD3F64"/>
    <w:rsid w:val="05580ED4"/>
    <w:rsid w:val="05BD626F"/>
    <w:rsid w:val="06846916"/>
    <w:rsid w:val="06C40151"/>
    <w:rsid w:val="078461AB"/>
    <w:rsid w:val="086A29BC"/>
    <w:rsid w:val="0B4A7569"/>
    <w:rsid w:val="0BB84EE1"/>
    <w:rsid w:val="0C8A7403"/>
    <w:rsid w:val="0D975AE0"/>
    <w:rsid w:val="0E2D7C4F"/>
    <w:rsid w:val="0ED35847"/>
    <w:rsid w:val="0FB37347"/>
    <w:rsid w:val="0FF43FCA"/>
    <w:rsid w:val="1089070F"/>
    <w:rsid w:val="10A77774"/>
    <w:rsid w:val="10B2256F"/>
    <w:rsid w:val="1201783D"/>
    <w:rsid w:val="120B7BE2"/>
    <w:rsid w:val="1302311F"/>
    <w:rsid w:val="132D27DF"/>
    <w:rsid w:val="13FB20F5"/>
    <w:rsid w:val="14272EA2"/>
    <w:rsid w:val="148759AD"/>
    <w:rsid w:val="149253FF"/>
    <w:rsid w:val="16B70AB9"/>
    <w:rsid w:val="17676B8C"/>
    <w:rsid w:val="179B05BA"/>
    <w:rsid w:val="17A4103D"/>
    <w:rsid w:val="17B92C80"/>
    <w:rsid w:val="17CC70FE"/>
    <w:rsid w:val="184743D9"/>
    <w:rsid w:val="184D1A98"/>
    <w:rsid w:val="187B4AB8"/>
    <w:rsid w:val="18EA76D6"/>
    <w:rsid w:val="192A46AC"/>
    <w:rsid w:val="1A337E29"/>
    <w:rsid w:val="1AC36224"/>
    <w:rsid w:val="1B83626B"/>
    <w:rsid w:val="1DDA151B"/>
    <w:rsid w:val="1F5F475E"/>
    <w:rsid w:val="1FF31B4F"/>
    <w:rsid w:val="209220EC"/>
    <w:rsid w:val="20D44BBF"/>
    <w:rsid w:val="217911FA"/>
    <w:rsid w:val="220D78C5"/>
    <w:rsid w:val="2366364A"/>
    <w:rsid w:val="242B3255"/>
    <w:rsid w:val="24370BDB"/>
    <w:rsid w:val="250D44CD"/>
    <w:rsid w:val="25680C50"/>
    <w:rsid w:val="25923F4D"/>
    <w:rsid w:val="25C93DBB"/>
    <w:rsid w:val="26173E4C"/>
    <w:rsid w:val="26524294"/>
    <w:rsid w:val="26715F99"/>
    <w:rsid w:val="275B2D9A"/>
    <w:rsid w:val="27676DAE"/>
    <w:rsid w:val="27AA7668"/>
    <w:rsid w:val="28DF530A"/>
    <w:rsid w:val="292F766C"/>
    <w:rsid w:val="29306778"/>
    <w:rsid w:val="296A16BD"/>
    <w:rsid w:val="29790ABB"/>
    <w:rsid w:val="2AE27D26"/>
    <w:rsid w:val="2B57746C"/>
    <w:rsid w:val="2C78619D"/>
    <w:rsid w:val="2C7D0086"/>
    <w:rsid w:val="2DCF7B6A"/>
    <w:rsid w:val="2E1F76A0"/>
    <w:rsid w:val="2E47045D"/>
    <w:rsid w:val="2F5C246D"/>
    <w:rsid w:val="30313F05"/>
    <w:rsid w:val="30EE5C11"/>
    <w:rsid w:val="316B0828"/>
    <w:rsid w:val="318F411A"/>
    <w:rsid w:val="321165F0"/>
    <w:rsid w:val="32701F68"/>
    <w:rsid w:val="334F2054"/>
    <w:rsid w:val="33B20B2C"/>
    <w:rsid w:val="34904C1F"/>
    <w:rsid w:val="355A0B35"/>
    <w:rsid w:val="35686C87"/>
    <w:rsid w:val="364A5795"/>
    <w:rsid w:val="36E21052"/>
    <w:rsid w:val="37362EDC"/>
    <w:rsid w:val="38547BF4"/>
    <w:rsid w:val="388127A4"/>
    <w:rsid w:val="3894224A"/>
    <w:rsid w:val="39B0345D"/>
    <w:rsid w:val="3A3F654C"/>
    <w:rsid w:val="3A4A0C98"/>
    <w:rsid w:val="3AB065F2"/>
    <w:rsid w:val="3B82520A"/>
    <w:rsid w:val="3BCD2D2A"/>
    <w:rsid w:val="3BD542C1"/>
    <w:rsid w:val="3BF75330"/>
    <w:rsid w:val="3C4351F1"/>
    <w:rsid w:val="3C8F5568"/>
    <w:rsid w:val="3DCD4657"/>
    <w:rsid w:val="3DF17B5D"/>
    <w:rsid w:val="3E077430"/>
    <w:rsid w:val="3E16093B"/>
    <w:rsid w:val="3EAB41B0"/>
    <w:rsid w:val="3EF375B6"/>
    <w:rsid w:val="40014ABD"/>
    <w:rsid w:val="401C07EE"/>
    <w:rsid w:val="418F7DB9"/>
    <w:rsid w:val="41C63627"/>
    <w:rsid w:val="43891F90"/>
    <w:rsid w:val="43946EA8"/>
    <w:rsid w:val="44B80AE3"/>
    <w:rsid w:val="45961CCD"/>
    <w:rsid w:val="46995568"/>
    <w:rsid w:val="47A1346F"/>
    <w:rsid w:val="47D2385A"/>
    <w:rsid w:val="47EC741F"/>
    <w:rsid w:val="48E11081"/>
    <w:rsid w:val="4E3C51A6"/>
    <w:rsid w:val="4EA57F5B"/>
    <w:rsid w:val="4F475660"/>
    <w:rsid w:val="4F91042F"/>
    <w:rsid w:val="4FA77CEC"/>
    <w:rsid w:val="4FB12E0A"/>
    <w:rsid w:val="4FDD51EF"/>
    <w:rsid w:val="50CF1F80"/>
    <w:rsid w:val="52157E66"/>
    <w:rsid w:val="534B409A"/>
    <w:rsid w:val="53A616BE"/>
    <w:rsid w:val="53F0286B"/>
    <w:rsid w:val="54A6047C"/>
    <w:rsid w:val="55F86103"/>
    <w:rsid w:val="56892BD1"/>
    <w:rsid w:val="575F02D9"/>
    <w:rsid w:val="57BF6711"/>
    <w:rsid w:val="57F16502"/>
    <w:rsid w:val="5922789C"/>
    <w:rsid w:val="59495A8A"/>
    <w:rsid w:val="59AC3F53"/>
    <w:rsid w:val="5A0C5980"/>
    <w:rsid w:val="5A2032E5"/>
    <w:rsid w:val="5ABB2BF9"/>
    <w:rsid w:val="5B0B44FC"/>
    <w:rsid w:val="5B9B13DC"/>
    <w:rsid w:val="5BD075A9"/>
    <w:rsid w:val="5BD52217"/>
    <w:rsid w:val="5C9626C8"/>
    <w:rsid w:val="5CD44944"/>
    <w:rsid w:val="5CFB20F8"/>
    <w:rsid w:val="5D2154B5"/>
    <w:rsid w:val="5D2748E5"/>
    <w:rsid w:val="5E1A02AB"/>
    <w:rsid w:val="5E1C29D8"/>
    <w:rsid w:val="5EEF528C"/>
    <w:rsid w:val="5FAC7A2F"/>
    <w:rsid w:val="610F14C2"/>
    <w:rsid w:val="61160490"/>
    <w:rsid w:val="613C578C"/>
    <w:rsid w:val="61FF01EB"/>
    <w:rsid w:val="62733293"/>
    <w:rsid w:val="62B17A6B"/>
    <w:rsid w:val="62F91608"/>
    <w:rsid w:val="635737F1"/>
    <w:rsid w:val="64213605"/>
    <w:rsid w:val="64F46001"/>
    <w:rsid w:val="653D620A"/>
    <w:rsid w:val="6595274A"/>
    <w:rsid w:val="6634293C"/>
    <w:rsid w:val="66407DDD"/>
    <w:rsid w:val="67486B42"/>
    <w:rsid w:val="68243590"/>
    <w:rsid w:val="6A615BAD"/>
    <w:rsid w:val="6BA77A57"/>
    <w:rsid w:val="6D13515D"/>
    <w:rsid w:val="6D921163"/>
    <w:rsid w:val="6E9D3265"/>
    <w:rsid w:val="6EB16BDF"/>
    <w:rsid w:val="6F16174A"/>
    <w:rsid w:val="6FB94E90"/>
    <w:rsid w:val="704240C4"/>
    <w:rsid w:val="70B22515"/>
    <w:rsid w:val="70B812BD"/>
    <w:rsid w:val="70FB14A4"/>
    <w:rsid w:val="7148570A"/>
    <w:rsid w:val="7195272E"/>
    <w:rsid w:val="71EA6A44"/>
    <w:rsid w:val="72F97BB3"/>
    <w:rsid w:val="7342520F"/>
    <w:rsid w:val="740718AD"/>
    <w:rsid w:val="74304FCC"/>
    <w:rsid w:val="74623B6B"/>
    <w:rsid w:val="74BC16CF"/>
    <w:rsid w:val="74E76471"/>
    <w:rsid w:val="75023CF6"/>
    <w:rsid w:val="75273846"/>
    <w:rsid w:val="754460F6"/>
    <w:rsid w:val="755B5EAC"/>
    <w:rsid w:val="759009FD"/>
    <w:rsid w:val="765661D4"/>
    <w:rsid w:val="77D61299"/>
    <w:rsid w:val="795D134B"/>
    <w:rsid w:val="79903F5A"/>
    <w:rsid w:val="79A66416"/>
    <w:rsid w:val="79C564E7"/>
    <w:rsid w:val="7A36440A"/>
    <w:rsid w:val="7A9814B1"/>
    <w:rsid w:val="7ACC2F08"/>
    <w:rsid w:val="7AD14C6A"/>
    <w:rsid w:val="7B577FE5"/>
    <w:rsid w:val="7B581EAA"/>
    <w:rsid w:val="7C8E1557"/>
    <w:rsid w:val="7CBD7205"/>
    <w:rsid w:val="7D90330C"/>
    <w:rsid w:val="7E0B4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30"/>
    <w:semiHidden/>
    <w:unhideWhenUsed/>
    <w:qFormat/>
    <w:uiPriority w:val="99"/>
    <w:pPr>
      <w:jc w:val="left"/>
    </w:pPr>
  </w:style>
  <w:style w:type="paragraph" w:styleId="5">
    <w:name w:val="Body Text"/>
    <w:basedOn w:val="1"/>
    <w:link w:val="32"/>
    <w:unhideWhenUsed/>
    <w:qFormat/>
    <w:uiPriority w:val="99"/>
    <w:pPr>
      <w:spacing w:after="120"/>
    </w:pPr>
  </w:style>
  <w:style w:type="paragraph" w:styleId="6">
    <w:name w:val="Plain Text"/>
    <w:basedOn w:val="1"/>
    <w:next w:val="7"/>
    <w:link w:val="23"/>
    <w:unhideWhenUsed/>
    <w:qFormat/>
    <w:uiPriority w:val="99"/>
    <w:rPr>
      <w:rFonts w:ascii="宋体" w:hAnsi="Courier New"/>
    </w:rPr>
  </w:style>
  <w:style w:type="paragraph" w:styleId="7">
    <w:name w:val="Date"/>
    <w:basedOn w:val="1"/>
    <w:next w:val="1"/>
    <w:link w:val="24"/>
    <w:semiHidden/>
    <w:unhideWhenUsed/>
    <w:qFormat/>
    <w:uiPriority w:val="99"/>
    <w:pPr>
      <w:ind w:left="100" w:leftChars="2500"/>
    </w:pPr>
  </w:style>
  <w:style w:type="paragraph" w:styleId="8">
    <w:name w:val="Balloon Text"/>
    <w:basedOn w:val="1"/>
    <w:link w:val="22"/>
    <w:semiHidden/>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annotation subject"/>
    <w:basedOn w:val="4"/>
    <w:next w:val="4"/>
    <w:link w:val="31"/>
    <w:semiHidden/>
    <w:unhideWhenUsed/>
    <w:qFormat/>
    <w:uiPriority w:val="99"/>
    <w:rPr>
      <w:b/>
      <w:bCs/>
    </w:rPr>
  </w:style>
  <w:style w:type="table" w:styleId="14">
    <w:name w:val="Table Grid"/>
    <w:basedOn w:val="1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styleId="17">
    <w:name w:val="Hyperlink"/>
    <w:basedOn w:val="15"/>
    <w:semiHidden/>
    <w:unhideWhenUsed/>
    <w:qFormat/>
    <w:uiPriority w:val="99"/>
    <w:rPr>
      <w:color w:val="0000FF"/>
      <w:u w:val="single"/>
    </w:rPr>
  </w:style>
  <w:style w:type="character" w:styleId="18">
    <w:name w:val="annotation reference"/>
    <w:basedOn w:val="15"/>
    <w:unhideWhenUsed/>
    <w:qFormat/>
    <w:uiPriority w:val="99"/>
    <w:rPr>
      <w:sz w:val="21"/>
      <w:szCs w:val="21"/>
    </w:rPr>
  </w:style>
  <w:style w:type="paragraph" w:styleId="19">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0">
    <w:name w:val="页眉 Char"/>
    <w:basedOn w:val="15"/>
    <w:link w:val="10"/>
    <w:qFormat/>
    <w:uiPriority w:val="99"/>
    <w:rPr>
      <w:sz w:val="18"/>
      <w:szCs w:val="18"/>
    </w:rPr>
  </w:style>
  <w:style w:type="character" w:customStyle="1" w:styleId="21">
    <w:name w:val="页脚 Char"/>
    <w:basedOn w:val="15"/>
    <w:link w:val="9"/>
    <w:qFormat/>
    <w:uiPriority w:val="99"/>
    <w:rPr>
      <w:sz w:val="18"/>
      <w:szCs w:val="18"/>
    </w:rPr>
  </w:style>
  <w:style w:type="character" w:customStyle="1" w:styleId="22">
    <w:name w:val="批注框文本 Char"/>
    <w:basedOn w:val="15"/>
    <w:link w:val="8"/>
    <w:semiHidden/>
    <w:qFormat/>
    <w:uiPriority w:val="99"/>
    <w:rPr>
      <w:sz w:val="18"/>
      <w:szCs w:val="18"/>
    </w:rPr>
  </w:style>
  <w:style w:type="character" w:customStyle="1" w:styleId="23">
    <w:name w:val="纯文本 Char"/>
    <w:basedOn w:val="15"/>
    <w:link w:val="6"/>
    <w:qFormat/>
    <w:uiPriority w:val="99"/>
    <w:rPr>
      <w:rFonts w:ascii="宋体" w:hAnsi="Courier New"/>
      <w:kern w:val="2"/>
      <w:sz w:val="21"/>
      <w:szCs w:val="22"/>
    </w:rPr>
  </w:style>
  <w:style w:type="character" w:customStyle="1" w:styleId="24">
    <w:name w:val="日期 Char"/>
    <w:basedOn w:val="15"/>
    <w:link w:val="7"/>
    <w:semiHidden/>
    <w:qFormat/>
    <w:uiPriority w:val="99"/>
    <w:rPr>
      <w:kern w:val="2"/>
      <w:sz w:val="21"/>
      <w:szCs w:val="22"/>
    </w:rPr>
  </w:style>
  <w:style w:type="character" w:customStyle="1" w:styleId="25">
    <w:name w:val="font21"/>
    <w:basedOn w:val="15"/>
    <w:qFormat/>
    <w:uiPriority w:val="0"/>
    <w:rPr>
      <w:rFonts w:ascii="Calibri" w:hAnsi="Calibri" w:cs="Calibri"/>
      <w:color w:val="000000"/>
      <w:sz w:val="22"/>
      <w:szCs w:val="22"/>
      <w:u w:val="none"/>
    </w:rPr>
  </w:style>
  <w:style w:type="character" w:customStyle="1" w:styleId="26">
    <w:name w:val="font41"/>
    <w:basedOn w:val="15"/>
    <w:qFormat/>
    <w:uiPriority w:val="0"/>
    <w:rPr>
      <w:rFonts w:hint="eastAsia" w:ascii="宋体" w:hAnsi="宋体" w:eastAsia="宋体" w:cs="宋体"/>
      <w:color w:val="000000"/>
      <w:sz w:val="22"/>
      <w:szCs w:val="22"/>
      <w:u w:val="none"/>
    </w:rPr>
  </w:style>
  <w:style w:type="character" w:customStyle="1" w:styleId="27">
    <w:name w:val="font11"/>
    <w:basedOn w:val="15"/>
    <w:qFormat/>
    <w:uiPriority w:val="0"/>
    <w:rPr>
      <w:rFonts w:hint="default" w:ascii="Calibri" w:hAnsi="Calibri" w:cs="Calibri"/>
      <w:color w:val="000000"/>
      <w:sz w:val="22"/>
      <w:szCs w:val="22"/>
      <w:u w:val="none"/>
    </w:rPr>
  </w:style>
  <w:style w:type="character" w:customStyle="1" w:styleId="28">
    <w:name w:val="font01"/>
    <w:basedOn w:val="15"/>
    <w:qFormat/>
    <w:uiPriority w:val="0"/>
    <w:rPr>
      <w:rFonts w:hint="default" w:ascii="Calibri" w:hAnsi="Calibri" w:cs="Calibri"/>
      <w:color w:val="000000"/>
      <w:sz w:val="22"/>
      <w:szCs w:val="22"/>
      <w:u w:val="none"/>
    </w:rPr>
  </w:style>
  <w:style w:type="character" w:customStyle="1" w:styleId="29">
    <w:name w:val="font31"/>
    <w:basedOn w:val="15"/>
    <w:qFormat/>
    <w:uiPriority w:val="0"/>
    <w:rPr>
      <w:rFonts w:hint="eastAsia" w:ascii="宋体" w:hAnsi="宋体" w:eastAsia="宋体" w:cs="宋体"/>
      <w:color w:val="000000"/>
      <w:sz w:val="22"/>
      <w:szCs w:val="22"/>
      <w:u w:val="none"/>
    </w:rPr>
  </w:style>
  <w:style w:type="character" w:customStyle="1" w:styleId="30">
    <w:name w:val="批注文字 Char"/>
    <w:basedOn w:val="15"/>
    <w:link w:val="4"/>
    <w:semiHidden/>
    <w:qFormat/>
    <w:uiPriority w:val="99"/>
    <w:rPr>
      <w:rFonts w:asciiTheme="minorHAnsi" w:hAnsiTheme="minorHAnsi" w:eastAsiaTheme="minorEastAsia" w:cstheme="minorBidi"/>
      <w:kern w:val="2"/>
      <w:sz w:val="21"/>
      <w:szCs w:val="22"/>
    </w:rPr>
  </w:style>
  <w:style w:type="character" w:customStyle="1" w:styleId="31">
    <w:name w:val="批注主题 Char"/>
    <w:basedOn w:val="30"/>
    <w:link w:val="12"/>
    <w:semiHidden/>
    <w:qFormat/>
    <w:uiPriority w:val="99"/>
    <w:rPr>
      <w:rFonts w:asciiTheme="minorHAnsi" w:hAnsiTheme="minorHAnsi" w:eastAsiaTheme="minorEastAsia" w:cstheme="minorBidi"/>
      <w:b/>
      <w:bCs/>
      <w:kern w:val="2"/>
      <w:sz w:val="21"/>
      <w:szCs w:val="22"/>
    </w:rPr>
  </w:style>
  <w:style w:type="character" w:customStyle="1" w:styleId="32">
    <w:name w:val="正文文本 Char"/>
    <w:basedOn w:val="15"/>
    <w:link w:val="5"/>
    <w:qFormat/>
    <w:uiPriority w:val="99"/>
    <w:rPr>
      <w:kern w:val="2"/>
      <w:sz w:val="21"/>
      <w:szCs w:val="22"/>
    </w:rPr>
  </w:style>
  <w:style w:type="paragraph" w:customStyle="1" w:styleId="33">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4">
    <w:name w:val="标题2"/>
    <w:basedOn w:val="1"/>
    <w:next w:val="1"/>
    <w:qFormat/>
    <w:uiPriority w:val="0"/>
    <w:pPr>
      <w:ind w:firstLine="0" w:firstLineChars="0"/>
      <w:outlineLvl w:val="1"/>
    </w:pPr>
    <w:rPr>
      <w:b/>
    </w:rPr>
  </w:style>
  <w:style w:type="paragraph" w:styleId="35">
    <w:name w:val="Quote"/>
    <w:basedOn w:val="1"/>
    <w:next w:val="1"/>
    <w:qFormat/>
    <w:uiPriority w:val="0"/>
    <w:pPr>
      <w:wordWrap w:val="0"/>
      <w:spacing w:before="200" w:after="160"/>
      <w:ind w:left="864" w:right="864"/>
      <w:jc w:val="center"/>
    </w:pPr>
    <w:rPr>
      <w:i/>
      <w:sz w:val="21"/>
      <w:lang w:val="en-US" w:eastAsia="zh-CN" w:bidi="ar-SA"/>
    </w:rPr>
  </w:style>
  <w:style w:type="paragraph" w:customStyle="1" w:styleId="36">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17</Pages>
  <Words>7154</Words>
  <Characters>7291</Characters>
  <Lines>37</Lines>
  <Paragraphs>10</Paragraphs>
  <TotalTime>4</TotalTime>
  <ScaleCrop>false</ScaleCrop>
  <LinksUpToDate>false</LinksUpToDate>
  <CharactersWithSpaces>8640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2026-10-12T00:57:55Z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C00481DA99A34F8CA1AD56C5A82DD2B8_13</vt:lpwstr>
  </property>
  <property fmtid="{D5CDD505-2E9C-101B-9397-08002B2CF9AE}" pid="4" name="KSOTemplateDocerSaveRecord">
    <vt:lpwstr>eyJoZGlkIjoiMDQ0ZTdmOTFlZjc0OWU0NDhmMzA1YTM2NmI5MDg1MzIiLCJ1c2VySWQiOiI0MDk0NTEyMTIifQ==</vt:lpwstr>
  </property>
</Properties>
</file>